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adjustRightInd w:val="0"/>
        <w:snapToGrid w:val="0"/>
        <w:spacing w:after="0" w:line="360" w:lineRule="auto"/>
        <w:ind w:left="0" w:leftChars="0"/>
        <w:rPr>
          <w:rFonts w:ascii="仿宋_GB2312" w:hAnsi="仿宋" w:eastAsia="仿宋_GB2312"/>
          <w:b/>
          <w:spacing w:val="-4"/>
          <w:sz w:val="28"/>
          <w:szCs w:val="28"/>
        </w:rPr>
      </w:pPr>
      <w:r>
        <w:rPr>
          <w:rFonts w:hint="eastAsia" w:ascii="黑体" w:hAnsi="黑体" w:eastAsia="黑体" w:cs="宋体"/>
          <w:bCs/>
          <w:kern w:val="0"/>
          <w:sz w:val="32"/>
          <w:szCs w:val="32"/>
        </w:rPr>
        <w:t>附表2：</w:t>
      </w:r>
    </w:p>
    <w:p>
      <w:pPr>
        <w:adjustRightInd w:val="0"/>
        <w:snapToGrid w:val="0"/>
        <w:jc w:val="center"/>
        <w:rPr>
          <w:rFonts w:ascii="仿宋_GB2312" w:hAnsi="仿宋" w:eastAsia="仿宋_GB2312"/>
          <w:b/>
          <w:spacing w:val="-4"/>
          <w:sz w:val="30"/>
          <w:szCs w:val="30"/>
        </w:rPr>
      </w:pPr>
      <w:r>
        <w:rPr>
          <w:rFonts w:hint="eastAsia" w:ascii="仿宋_GB2312" w:hAnsi="仿宋" w:eastAsia="仿宋_GB2312"/>
          <w:b/>
          <w:spacing w:val="-4"/>
          <w:sz w:val="30"/>
          <w:szCs w:val="30"/>
        </w:rPr>
        <w:t>推荐、接收工作日程安排</w:t>
      </w:r>
    </w:p>
    <w:tbl>
      <w:tblPr>
        <w:tblStyle w:val="6"/>
        <w:tblW w:w="88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97"/>
        <w:gridCol w:w="74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2" w:hRule="atLeast"/>
          <w:jc w:val="center"/>
        </w:trPr>
        <w:tc>
          <w:tcPr>
            <w:tcW w:w="1397" w:type="dxa"/>
            <w:vAlign w:val="center"/>
          </w:tcPr>
          <w:p>
            <w:pPr>
              <w:spacing w:line="240" w:lineRule="exact"/>
              <w:jc w:val="center"/>
              <w:rPr>
                <w:b/>
                <w:szCs w:val="21"/>
              </w:rPr>
            </w:pPr>
            <w:r>
              <w:rPr>
                <w:rFonts w:hint="eastAsia"/>
                <w:b/>
                <w:szCs w:val="21"/>
              </w:rPr>
              <w:t>时  间</w:t>
            </w:r>
          </w:p>
        </w:tc>
        <w:tc>
          <w:tcPr>
            <w:tcW w:w="7435" w:type="dxa"/>
            <w:vAlign w:val="center"/>
          </w:tcPr>
          <w:p>
            <w:pPr>
              <w:spacing w:line="240" w:lineRule="exact"/>
              <w:jc w:val="center"/>
              <w:rPr>
                <w:b/>
                <w:szCs w:val="21"/>
              </w:rPr>
            </w:pPr>
            <w:r>
              <w:rPr>
                <w:rFonts w:hint="eastAsia"/>
                <w:b/>
                <w:szCs w:val="21"/>
              </w:rPr>
              <w:t>内    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4" w:hRule="atLeast"/>
          <w:jc w:val="center"/>
        </w:trPr>
        <w:tc>
          <w:tcPr>
            <w:tcW w:w="8832" w:type="dxa"/>
            <w:gridSpan w:val="2"/>
            <w:vAlign w:val="center"/>
          </w:tcPr>
          <w:p>
            <w:pPr>
              <w:spacing w:line="240" w:lineRule="exact"/>
              <w:jc w:val="center"/>
              <w:rPr>
                <w:b/>
                <w:szCs w:val="21"/>
              </w:rPr>
            </w:pPr>
            <w:r>
              <w:rPr>
                <w:rFonts w:hint="eastAsia"/>
                <w:b/>
                <w:szCs w:val="21"/>
              </w:rPr>
              <w:t>推荐阶段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 w:hRule="atLeast"/>
          <w:jc w:val="center"/>
        </w:trPr>
        <w:tc>
          <w:tcPr>
            <w:tcW w:w="1397" w:type="dxa"/>
            <w:vAlign w:val="center"/>
          </w:tcPr>
          <w:p>
            <w:pPr>
              <w:spacing w:line="240" w:lineRule="exact"/>
              <w:jc w:val="center"/>
              <w:rPr>
                <w:szCs w:val="21"/>
              </w:rPr>
            </w:pPr>
            <w:r>
              <w:rPr>
                <w:rFonts w:hint="eastAsia"/>
                <w:szCs w:val="21"/>
              </w:rPr>
              <w:t>9</w:t>
            </w:r>
            <w:r>
              <w:rPr>
                <w:szCs w:val="21"/>
              </w:rPr>
              <w:t>月22日</w:t>
            </w:r>
            <w:r>
              <w:rPr>
                <w:rFonts w:hint="eastAsia"/>
                <w:szCs w:val="21"/>
              </w:rPr>
              <w:t>前</w:t>
            </w:r>
          </w:p>
        </w:tc>
        <w:tc>
          <w:tcPr>
            <w:tcW w:w="7435" w:type="dxa"/>
            <w:vAlign w:val="center"/>
          </w:tcPr>
          <w:p>
            <w:pPr>
              <w:adjustRightInd w:val="0"/>
              <w:snapToGrid w:val="0"/>
              <w:rPr>
                <w:szCs w:val="21"/>
              </w:rPr>
            </w:pPr>
            <w:r>
              <w:rPr>
                <w:rFonts w:hint="eastAsia"/>
                <w:szCs w:val="21"/>
              </w:rPr>
              <w:t>研究生院下发推免工作通知。各学院根据《推免办法》和通知要求，成立推免生遴选工作小组，加盖学院公章后报研究生院备案。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09" w:hRule="atLeast"/>
          <w:jc w:val="center"/>
        </w:trPr>
        <w:tc>
          <w:tcPr>
            <w:tcW w:w="1397" w:type="dxa"/>
            <w:vAlign w:val="center"/>
          </w:tcPr>
          <w:p>
            <w:pPr>
              <w:spacing w:line="240" w:lineRule="exact"/>
              <w:jc w:val="center"/>
              <w:rPr>
                <w:szCs w:val="21"/>
              </w:rPr>
            </w:pPr>
            <w:r>
              <w:rPr>
                <w:rFonts w:hint="eastAsia"/>
                <w:szCs w:val="21"/>
              </w:rPr>
              <w:t>9</w:t>
            </w:r>
            <w:r>
              <w:rPr>
                <w:szCs w:val="21"/>
              </w:rPr>
              <w:t>月22日至10月3日</w:t>
            </w:r>
          </w:p>
        </w:tc>
        <w:tc>
          <w:tcPr>
            <w:tcW w:w="7435" w:type="dxa"/>
            <w:vAlign w:val="center"/>
          </w:tcPr>
          <w:p>
            <w:pPr>
              <w:adjustRightInd w:val="0"/>
              <w:snapToGrid w:val="0"/>
              <w:rPr>
                <w:rFonts w:ascii="宋体" w:hAnsi="宋体"/>
                <w:szCs w:val="21"/>
              </w:rPr>
            </w:pPr>
            <w:r>
              <w:rPr>
                <w:rFonts w:hint="eastAsia"/>
                <w:szCs w:val="21"/>
              </w:rPr>
              <w:t>1</w:t>
            </w:r>
            <w:r>
              <w:rPr>
                <w:szCs w:val="21"/>
              </w:rPr>
              <w:t>.</w:t>
            </w:r>
            <w:r>
              <w:rPr>
                <w:rFonts w:hint="eastAsia"/>
                <w:szCs w:val="21"/>
              </w:rPr>
              <w:t>各学院结合实际，制定本学院《推免工作细则》，并将学院的推荐名额和接收限额分配方案、综合评价各个项目及级别的权重分数以及应届本科毕业生的学业考核计分以张贴和上网两种形式在学院公布。</w:t>
            </w:r>
          </w:p>
          <w:p>
            <w:pPr>
              <w:adjustRightInd w:val="0"/>
              <w:snapToGrid w:val="0"/>
              <w:rPr>
                <w:szCs w:val="21"/>
              </w:rPr>
            </w:pPr>
            <w:r>
              <w:rPr>
                <w:rFonts w:hint="eastAsia"/>
                <w:szCs w:val="21"/>
              </w:rPr>
              <w:t>2</w:t>
            </w:r>
            <w:r>
              <w:rPr>
                <w:szCs w:val="21"/>
              </w:rPr>
              <w:t>.</w:t>
            </w:r>
            <w:r>
              <w:rPr>
                <w:rFonts w:hint="eastAsia"/>
                <w:szCs w:val="21"/>
              </w:rPr>
              <w:t>各学院向本院应届生宣传推免工作相关政策，组织学生进行申请。</w:t>
            </w:r>
          </w:p>
          <w:p>
            <w:pPr>
              <w:adjustRightInd w:val="0"/>
              <w:snapToGrid w:val="0"/>
              <w:rPr>
                <w:szCs w:val="21"/>
              </w:rPr>
            </w:pPr>
            <w:r>
              <w:rPr>
                <w:szCs w:val="21"/>
              </w:rPr>
              <w:t>3.</w:t>
            </w:r>
            <w:r>
              <w:rPr>
                <w:rFonts w:hint="eastAsia"/>
                <w:b/>
                <w:bCs/>
                <w:color w:val="0000FF"/>
                <w:szCs w:val="21"/>
                <w:lang w:val="en-US" w:eastAsia="zh-CN"/>
              </w:rPr>
              <w:t>9月27日11:00前</w:t>
            </w:r>
            <w:r>
              <w:rPr>
                <w:rFonts w:hint="eastAsia"/>
                <w:color w:val="0000FF"/>
                <w:szCs w:val="21"/>
                <w:lang w:val="en-US" w:eastAsia="zh-CN"/>
              </w:rPr>
              <w:t>，</w:t>
            </w:r>
            <w:r>
              <w:rPr>
                <w:rFonts w:hint="eastAsia"/>
                <w:szCs w:val="21"/>
              </w:rPr>
              <w:t>学生向学院</w:t>
            </w:r>
            <w:r>
              <w:rPr>
                <w:rFonts w:hint="eastAsia"/>
                <w:szCs w:val="21"/>
                <w:lang w:eastAsia="zh-CN"/>
              </w:rPr>
              <w:t>（</w:t>
            </w:r>
            <w:r>
              <w:rPr>
                <w:rFonts w:hint="eastAsia"/>
                <w:color w:val="0000FF"/>
                <w:szCs w:val="21"/>
                <w:lang w:eastAsia="zh-CN"/>
              </w:rPr>
              <w:t>外语楼</w:t>
            </w:r>
            <w:r>
              <w:rPr>
                <w:rFonts w:hint="eastAsia"/>
                <w:color w:val="0000FF"/>
                <w:szCs w:val="21"/>
                <w:lang w:val="en-US" w:eastAsia="zh-CN"/>
              </w:rPr>
              <w:t>203陈老师</w:t>
            </w:r>
            <w:r>
              <w:rPr>
                <w:rFonts w:hint="eastAsia"/>
                <w:szCs w:val="21"/>
                <w:lang w:eastAsia="zh-CN"/>
              </w:rPr>
              <w:t>）</w:t>
            </w:r>
            <w:r>
              <w:rPr>
                <w:rFonts w:hint="eastAsia"/>
                <w:szCs w:val="21"/>
              </w:rPr>
              <w:t>提交本通知附表3、附表4、附表5、加盖校教务处公章的成绩单和学生综合评价成绩所需的证明材料，满足《推免办法》第十三条的学生还需提交获奖证书复印件一份和三位教授亲笔签名的推荐信。</w:t>
            </w:r>
            <w:bookmarkStart w:id="0" w:name="_GoBack"/>
            <w:bookmarkEnd w:id="0"/>
          </w:p>
          <w:p>
            <w:pPr>
              <w:adjustRightInd w:val="0"/>
              <w:snapToGrid w:val="0"/>
              <w:rPr>
                <w:szCs w:val="21"/>
              </w:rPr>
            </w:pPr>
            <w:r>
              <w:rPr>
                <w:rFonts w:hint="eastAsia"/>
                <w:szCs w:val="21"/>
              </w:rPr>
              <w:t>4</w:t>
            </w:r>
            <w:r>
              <w:rPr>
                <w:szCs w:val="21"/>
              </w:rPr>
              <w:t>.</w:t>
            </w:r>
            <w:r>
              <w:rPr>
                <w:rFonts w:hint="eastAsia"/>
                <w:szCs w:val="21"/>
              </w:rPr>
              <w:t>各学院公布学生报名情况。学院推免生遴选工作小组在认真审核材料的基础上，确定申请学生的综合评价成绩，并对满足《推免办法》第十三条的学生进行答辩。</w:t>
            </w:r>
          </w:p>
          <w:p>
            <w:pPr>
              <w:adjustRightInd w:val="0"/>
              <w:snapToGrid w:val="0"/>
              <w:rPr>
                <w:szCs w:val="21"/>
              </w:rPr>
            </w:pPr>
            <w:r>
              <w:rPr>
                <w:rFonts w:hint="eastAsia"/>
                <w:szCs w:val="21"/>
              </w:rPr>
              <w:t>5</w:t>
            </w:r>
            <w:r>
              <w:rPr>
                <w:szCs w:val="21"/>
              </w:rPr>
              <w:t>.</w:t>
            </w:r>
            <w:r>
              <w:rPr>
                <w:b/>
                <w:bCs/>
                <w:szCs w:val="21"/>
              </w:rPr>
              <w:t>10</w:t>
            </w:r>
            <w:r>
              <w:rPr>
                <w:rFonts w:hint="eastAsia"/>
                <w:b/>
                <w:bCs/>
                <w:szCs w:val="21"/>
              </w:rPr>
              <w:t>月1日前</w:t>
            </w:r>
            <w:r>
              <w:rPr>
                <w:rFonts w:hint="eastAsia"/>
                <w:szCs w:val="21"/>
              </w:rPr>
              <w:t>各学院根据综合考核计分（</w:t>
            </w:r>
            <w:r>
              <w:rPr>
                <w:szCs w:val="21"/>
              </w:rPr>
              <w:t>A1*80%+A2*20%</w:t>
            </w:r>
            <w:r>
              <w:rPr>
                <w:rFonts w:hint="eastAsia"/>
                <w:szCs w:val="21"/>
              </w:rPr>
              <w:t>）排序，按学校下达名额的1.5:1初步确定推荐候选人名单，并通过宣传栏、学院网站以及其他形式进行公示（</w:t>
            </w:r>
            <w:r>
              <w:rPr>
                <w:rFonts w:hint="eastAsia"/>
                <w:b/>
                <w:bCs/>
                <w:szCs w:val="21"/>
              </w:rPr>
              <w:t>不得少于三天</w:t>
            </w:r>
            <w:r>
              <w:rPr>
                <w:rFonts w:hint="eastAsia"/>
                <w:szCs w:val="21"/>
              </w:rPr>
              <w:t>）。</w:t>
            </w:r>
          </w:p>
          <w:p>
            <w:pPr>
              <w:adjustRightInd w:val="0"/>
              <w:snapToGrid w:val="0"/>
              <w:rPr>
                <w:rFonts w:ascii="宋体" w:hAnsi="宋体"/>
                <w:szCs w:val="21"/>
              </w:rPr>
            </w:pPr>
            <w:r>
              <w:rPr>
                <w:szCs w:val="21"/>
              </w:rPr>
              <w:t>6.</w:t>
            </w:r>
            <w:r>
              <w:rPr>
                <w:rFonts w:hint="eastAsia"/>
                <w:szCs w:val="21"/>
              </w:rPr>
              <w:t>公示无异议后将推荐候选人名单（含候补名单及其排序）填写入本通知附件</w:t>
            </w:r>
            <w:r>
              <w:rPr>
                <w:szCs w:val="21"/>
              </w:rPr>
              <w:t>8</w:t>
            </w:r>
            <w:r>
              <w:rPr>
                <w:rFonts w:hint="eastAsia"/>
                <w:szCs w:val="21"/>
              </w:rPr>
              <w:t>，签字盖章后与附表3、附表4、附表5和成绩单及其他相关材料一并报送研究生院。学院将相关材料报研究生院后不再接受学生的报名申请。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0" w:hRule="atLeast"/>
          <w:jc w:val="center"/>
        </w:trPr>
        <w:tc>
          <w:tcPr>
            <w:tcW w:w="1397" w:type="dxa"/>
            <w:vAlign w:val="center"/>
          </w:tcPr>
          <w:p>
            <w:pPr>
              <w:spacing w:line="240" w:lineRule="exact"/>
              <w:jc w:val="center"/>
              <w:rPr>
                <w:szCs w:val="21"/>
              </w:rPr>
            </w:pPr>
            <w:r>
              <w:rPr>
                <w:szCs w:val="21"/>
              </w:rPr>
              <w:t>10月4日</w:t>
            </w:r>
            <w:r>
              <w:rPr>
                <w:rFonts w:hint="eastAsia"/>
                <w:szCs w:val="21"/>
              </w:rPr>
              <w:t>-</w:t>
            </w:r>
            <w:r>
              <w:rPr>
                <w:szCs w:val="21"/>
              </w:rPr>
              <w:t>10月7日</w:t>
            </w:r>
          </w:p>
        </w:tc>
        <w:tc>
          <w:tcPr>
            <w:tcW w:w="7435" w:type="dxa"/>
            <w:vAlign w:val="center"/>
          </w:tcPr>
          <w:p>
            <w:pPr>
              <w:adjustRightInd w:val="0"/>
              <w:snapToGrid w:val="0"/>
              <w:rPr>
                <w:szCs w:val="21"/>
              </w:rPr>
            </w:pPr>
            <w:r>
              <w:rPr>
                <w:rFonts w:hint="eastAsia"/>
                <w:szCs w:val="21"/>
              </w:rPr>
              <w:t>研究生院对各学院报送的推荐候选人名单和相关材料进行汇总审核后，提交学校推免生遴选工作领导小组审议通过，并在全校范围内进行公示，公示无异议后，公布获得本年度推免资格学生名单及排名（如有自动放弃推免资格的情形，则由该名额所属学院的相应专业的候补名单顺序依次递补。如该名额所属学院或相应专业无候补名单，则由研究生院将该名额重新分配给有候补名单的学院或专业）。并通过“推免服务系统”将推免生名单报江西省教育考试院进行政策审核，并报教育部备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 w:hRule="atLeast"/>
          <w:jc w:val="center"/>
        </w:trPr>
        <w:tc>
          <w:tcPr>
            <w:tcW w:w="8832" w:type="dxa"/>
            <w:gridSpan w:val="2"/>
            <w:vAlign w:val="center"/>
          </w:tcPr>
          <w:p>
            <w:pPr>
              <w:adjustRightInd w:val="0"/>
              <w:snapToGrid w:val="0"/>
              <w:jc w:val="center"/>
              <w:rPr>
                <w:b/>
                <w:szCs w:val="21"/>
              </w:rPr>
            </w:pPr>
            <w:r>
              <w:rPr>
                <w:rFonts w:hint="eastAsia"/>
                <w:b/>
                <w:szCs w:val="21"/>
              </w:rPr>
              <w:t>接收阶段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14" w:hRule="atLeast"/>
          <w:jc w:val="center"/>
        </w:trPr>
        <w:tc>
          <w:tcPr>
            <w:tcW w:w="1397" w:type="dxa"/>
            <w:vAlign w:val="center"/>
          </w:tcPr>
          <w:p>
            <w:pPr>
              <w:spacing w:line="240" w:lineRule="exact"/>
              <w:jc w:val="center"/>
              <w:rPr>
                <w:szCs w:val="21"/>
              </w:rPr>
            </w:pPr>
            <w:r>
              <w:rPr>
                <w:szCs w:val="21"/>
              </w:rPr>
              <w:t>10月12日</w:t>
            </w:r>
            <w:r>
              <w:rPr>
                <w:rFonts w:hint="eastAsia"/>
                <w:szCs w:val="21"/>
              </w:rPr>
              <w:t>-</w:t>
            </w:r>
          </w:p>
          <w:p>
            <w:pPr>
              <w:spacing w:line="240" w:lineRule="exact"/>
              <w:jc w:val="center"/>
              <w:rPr>
                <w:szCs w:val="21"/>
              </w:rPr>
            </w:pPr>
            <w:r>
              <w:rPr>
                <w:rFonts w:hint="eastAsia"/>
                <w:szCs w:val="21"/>
              </w:rPr>
              <w:t>10</w:t>
            </w:r>
            <w:r>
              <w:rPr>
                <w:szCs w:val="21"/>
              </w:rPr>
              <w:t>月</w:t>
            </w:r>
            <w:r>
              <w:rPr>
                <w:rFonts w:hint="eastAsia"/>
                <w:szCs w:val="21"/>
              </w:rPr>
              <w:t>25</w:t>
            </w:r>
            <w:r>
              <w:rPr>
                <w:szCs w:val="21"/>
              </w:rPr>
              <w:t>日</w:t>
            </w:r>
          </w:p>
        </w:tc>
        <w:tc>
          <w:tcPr>
            <w:tcW w:w="7435" w:type="dxa"/>
            <w:vAlign w:val="center"/>
          </w:tcPr>
          <w:p>
            <w:pPr>
              <w:adjustRightInd w:val="0"/>
              <w:snapToGrid w:val="0"/>
              <w:rPr>
                <w:szCs w:val="21"/>
              </w:rPr>
            </w:pPr>
            <w:r>
              <w:rPr>
                <w:rFonts w:hint="eastAsia"/>
                <w:szCs w:val="21"/>
              </w:rPr>
              <w:t>1</w:t>
            </w:r>
            <w:r>
              <w:rPr>
                <w:szCs w:val="21"/>
              </w:rPr>
              <w:t>.</w:t>
            </w:r>
            <w:r>
              <w:rPr>
                <w:rFonts w:hint="eastAsia"/>
                <w:szCs w:val="21"/>
              </w:rPr>
              <w:t>各学院通知准备报考我校的学生在“推免服务系统”上自主填报志愿（只有经过学校同意且备案的推免生才能拥有登录权限）。各学院报送复试时间地点。研究生院会同各学院对在“推免服务系统”中填报我校的推免生进行资格初审，审核通过后由研究生院招生办公室向学生发送复试通知。</w:t>
            </w:r>
          </w:p>
          <w:p>
            <w:pPr>
              <w:adjustRightInd w:val="0"/>
              <w:snapToGrid w:val="0"/>
              <w:rPr>
                <w:szCs w:val="21"/>
              </w:rPr>
            </w:pPr>
            <w:r>
              <w:rPr>
                <w:szCs w:val="21"/>
              </w:rPr>
              <w:t>2.</w:t>
            </w:r>
            <w:r>
              <w:rPr>
                <w:rFonts w:hint="eastAsia"/>
                <w:szCs w:val="21"/>
              </w:rPr>
              <w:t>10月20日前，各学院组织在“推免服务系统中”接受我校复试通知的推免生参加推免复试。学院将复试考生的推免资格证明材料（外校考生）、本通知附表</w:t>
            </w:r>
            <w:r>
              <w:rPr>
                <w:szCs w:val="21"/>
              </w:rPr>
              <w:t>6</w:t>
            </w:r>
            <w:r>
              <w:rPr>
                <w:rFonts w:hint="eastAsia"/>
                <w:szCs w:val="21"/>
              </w:rPr>
              <w:t>、附表7及复试过程其他材料和根据考生复试成绩排名顺序确定的拟录取名单，一并报送研究生院。</w:t>
            </w:r>
          </w:p>
          <w:p>
            <w:pPr>
              <w:adjustRightInd w:val="0"/>
              <w:snapToGrid w:val="0"/>
              <w:rPr>
                <w:szCs w:val="21"/>
              </w:rPr>
            </w:pPr>
            <w:r>
              <w:rPr>
                <w:rFonts w:hint="eastAsia"/>
                <w:szCs w:val="21"/>
              </w:rPr>
              <w:t>3</w:t>
            </w:r>
            <w:r>
              <w:rPr>
                <w:szCs w:val="21"/>
              </w:rPr>
              <w:t>.</w:t>
            </w:r>
            <w:r>
              <w:rPr>
                <w:rFonts w:hint="eastAsia"/>
                <w:szCs w:val="21"/>
              </w:rPr>
              <w:t>研究生院向拟录取的推免生发送待录取通知，推免生在12小时内确认接受待录取。未在规定时间确认待录取的学生，视为自动放弃接收资格。</w:t>
            </w:r>
          </w:p>
          <w:p>
            <w:pPr>
              <w:adjustRightInd w:val="0"/>
              <w:snapToGrid w:val="0"/>
              <w:rPr>
                <w:szCs w:val="21"/>
              </w:rPr>
            </w:pPr>
            <w:r>
              <w:rPr>
                <w:rFonts w:hint="eastAsia"/>
                <w:szCs w:val="21"/>
              </w:rPr>
              <w:t>4</w:t>
            </w:r>
            <w:r>
              <w:rPr>
                <w:szCs w:val="21"/>
              </w:rPr>
              <w:t>.</w:t>
            </w:r>
            <w:r>
              <w:rPr>
                <w:rFonts w:hint="eastAsia"/>
                <w:szCs w:val="21"/>
              </w:rPr>
              <w:t>研究生院公示拟录取推免生名单。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4" w:hRule="atLeast"/>
          <w:jc w:val="center"/>
        </w:trPr>
        <w:tc>
          <w:tcPr>
            <w:tcW w:w="1397" w:type="dxa"/>
            <w:tcBorders>
              <w:top w:val="single" w:color="auto" w:sz="4" w:space="0"/>
            </w:tcBorders>
            <w:vAlign w:val="center"/>
          </w:tcPr>
          <w:p>
            <w:pPr>
              <w:spacing w:line="240" w:lineRule="exact"/>
              <w:jc w:val="left"/>
              <w:rPr>
                <w:szCs w:val="21"/>
              </w:rPr>
            </w:pPr>
            <w:r>
              <w:rPr>
                <w:rFonts w:hint="eastAsia"/>
                <w:szCs w:val="21"/>
              </w:rPr>
              <w:t>11</w:t>
            </w:r>
            <w:r>
              <w:rPr>
                <w:szCs w:val="21"/>
              </w:rPr>
              <w:t>月</w:t>
            </w:r>
            <w:r>
              <w:rPr>
                <w:rFonts w:hint="eastAsia"/>
                <w:szCs w:val="21"/>
              </w:rPr>
              <w:t>1</w:t>
            </w:r>
            <w:r>
              <w:rPr>
                <w:szCs w:val="21"/>
              </w:rPr>
              <w:t>日</w:t>
            </w:r>
            <w:r>
              <w:rPr>
                <w:rFonts w:hint="eastAsia"/>
                <w:szCs w:val="21"/>
              </w:rPr>
              <w:t>-</w:t>
            </w:r>
            <w:r>
              <w:rPr>
                <w:szCs w:val="21"/>
              </w:rPr>
              <w:t>11月7日</w:t>
            </w:r>
          </w:p>
        </w:tc>
        <w:tc>
          <w:tcPr>
            <w:tcW w:w="7435" w:type="dxa"/>
            <w:vAlign w:val="center"/>
          </w:tcPr>
          <w:p>
            <w:pPr>
              <w:adjustRightInd w:val="0"/>
              <w:snapToGrid w:val="0"/>
              <w:rPr>
                <w:szCs w:val="21"/>
              </w:rPr>
            </w:pPr>
            <w:r>
              <w:rPr>
                <w:rFonts w:hint="eastAsia"/>
                <w:szCs w:val="21"/>
              </w:rPr>
              <w:t>研究生院将公示无异议的拟录取推免生名单提交学校推免生遴选工作领导小组讨论通过，并将拟录取推免生名单报江西省教育考试院进行政策审核后，按要求向教育部备案。最终推免生录取名单及新生学籍注册均以“推免服务系统”备案信息为准。未经学校公示及“推免服务系统”备案的学生不得录取。</w:t>
            </w:r>
          </w:p>
        </w:tc>
      </w:tr>
    </w:tbl>
    <w:p>
      <w:pPr>
        <w:pStyle w:val="3"/>
        <w:adjustRightInd w:val="0"/>
        <w:snapToGrid w:val="0"/>
        <w:spacing w:after="0" w:line="360" w:lineRule="auto"/>
        <w:ind w:left="0" w:leftChars="0"/>
      </w:pPr>
    </w:p>
    <w:sectPr>
      <w:footerReference r:id="rId3"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Style w:val="8"/>
        <w:rFonts w:hint="eastAsia" w:ascii="仿宋_GB2312" w:eastAsia="仿宋_GB2312"/>
        <w:sz w:val="28"/>
        <w:szCs w:val="28"/>
      </w:rPr>
      <w:t>—</w:t>
    </w:r>
    <w:r>
      <w:rPr>
        <w:rFonts w:hint="eastAsia" w:ascii="仿宋_GB2312" w:eastAsia="仿宋_GB2312"/>
        <w:sz w:val="28"/>
        <w:szCs w:val="28"/>
      </w:rPr>
      <w:fldChar w:fldCharType="begin"/>
    </w:r>
    <w:r>
      <w:rPr>
        <w:rFonts w:hint="eastAsia" w:ascii="仿宋_GB2312" w:eastAsia="仿宋_GB2312"/>
        <w:sz w:val="28"/>
        <w:szCs w:val="28"/>
      </w:rPr>
      <w:instrText xml:space="preserve">PAGE   \* MERGEFORMAT</w:instrText>
    </w:r>
    <w:r>
      <w:rPr>
        <w:rFonts w:hint="eastAsia" w:ascii="仿宋_GB2312" w:eastAsia="仿宋_GB2312"/>
        <w:sz w:val="28"/>
        <w:szCs w:val="28"/>
      </w:rPr>
      <w:fldChar w:fldCharType="separate"/>
    </w:r>
    <w:r>
      <w:rPr>
        <w:rFonts w:ascii="仿宋_GB2312" w:eastAsia="仿宋_GB2312"/>
        <w:sz w:val="28"/>
        <w:szCs w:val="28"/>
        <w:lang w:val="zh-CN"/>
      </w:rPr>
      <w:t>12</w:t>
    </w:r>
    <w:r>
      <w:rPr>
        <w:rFonts w:hint="eastAsia" w:ascii="仿宋_GB2312" w:eastAsia="仿宋_GB2312"/>
        <w:sz w:val="28"/>
        <w:szCs w:val="28"/>
      </w:rPr>
      <w:fldChar w:fldCharType="end"/>
    </w:r>
    <w:r>
      <w:rPr>
        <w:rStyle w:val="8"/>
        <w:rFonts w:hint="eastAsia" w:ascii="仿宋_GB2312" w:eastAsia="仿宋_GB2312"/>
        <w:sz w:val="28"/>
        <w:szCs w:val="28"/>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38F6"/>
    <w:rsid w:val="000A15FE"/>
    <w:rsid w:val="006A38F6"/>
    <w:rsid w:val="008164E9"/>
    <w:rsid w:val="008C2EE0"/>
    <w:rsid w:val="00CD0F38"/>
    <w:rsid w:val="00DC66FD"/>
    <w:rsid w:val="00F963F1"/>
    <w:rsid w:val="02427AA5"/>
    <w:rsid w:val="49277A9A"/>
    <w:rsid w:val="5A552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semiHidden/>
    <w:unhideWhenUsed/>
    <w:qFormat/>
    <w:uiPriority w:val="99"/>
    <w:pPr>
      <w:spacing w:after="120"/>
    </w:pPr>
  </w:style>
  <w:style w:type="paragraph" w:styleId="3">
    <w:name w:val="Body Text Indent"/>
    <w:basedOn w:val="1"/>
    <w:link w:val="11"/>
    <w:qFormat/>
    <w:uiPriority w:val="0"/>
    <w:pPr>
      <w:spacing w:after="120"/>
      <w:ind w:left="420" w:leftChars="200"/>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rPr>
      <w:rFonts w:ascii="Times New Roman" w:hAnsi="Times New Roman" w:eastAsia="宋体" w:cs="Times New Roman"/>
    </w:rPr>
  </w:style>
  <w:style w:type="paragraph" w:customStyle="1" w:styleId="9">
    <w:name w:val="GB2312"/>
    <w:basedOn w:val="1"/>
    <w:qFormat/>
    <w:uiPriority w:val="0"/>
    <w:pPr>
      <w:spacing w:line="560" w:lineRule="exact"/>
      <w:jc w:val="left"/>
    </w:pPr>
    <w:rPr>
      <w:rFonts w:hint="eastAsia" w:ascii="仿宋_GB2312" w:hAnsi="仿宋_GB2312" w:eastAsia="仿宋_GB2312" w:cs="仿宋_GB2312"/>
      <w:szCs w:val="32"/>
    </w:rPr>
  </w:style>
  <w:style w:type="character" w:customStyle="1" w:styleId="10">
    <w:name w:val="页脚 字符"/>
    <w:basedOn w:val="7"/>
    <w:link w:val="4"/>
    <w:qFormat/>
    <w:uiPriority w:val="0"/>
    <w:rPr>
      <w:rFonts w:ascii="Times New Roman" w:hAnsi="Times New Roman" w:eastAsia="宋体" w:cs="Times New Roman"/>
      <w:sz w:val="18"/>
      <w:szCs w:val="18"/>
    </w:rPr>
  </w:style>
  <w:style w:type="character" w:customStyle="1" w:styleId="11">
    <w:name w:val="正文文本缩进 字符"/>
    <w:basedOn w:val="7"/>
    <w:link w:val="3"/>
    <w:qFormat/>
    <w:uiPriority w:val="0"/>
    <w:rPr>
      <w:rFonts w:ascii="Times New Roman" w:hAnsi="Times New Roman" w:eastAsia="宋体" w:cs="Times New Roman"/>
      <w:szCs w:val="24"/>
    </w:rPr>
  </w:style>
  <w:style w:type="character" w:customStyle="1" w:styleId="12">
    <w:name w:val="正文文本 字符"/>
    <w:basedOn w:val="7"/>
    <w:link w:val="2"/>
    <w:semiHidden/>
    <w:qFormat/>
    <w:uiPriority w:val="99"/>
    <w:rPr>
      <w:rFonts w:ascii="Times New Roman" w:hAnsi="Times New Roman" w:eastAsia="宋体" w:cs="Times New Roman"/>
      <w:szCs w:val="24"/>
    </w:rPr>
  </w:style>
  <w:style w:type="paragraph" w:customStyle="1" w:styleId="13">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14">
    <w:name w:val="页眉 字符"/>
    <w:basedOn w:val="7"/>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199</Words>
  <Characters>1138</Characters>
  <Lines>9</Lines>
  <Paragraphs>2</Paragraphs>
  <TotalTime>8</TotalTime>
  <ScaleCrop>false</ScaleCrop>
  <LinksUpToDate>false</LinksUpToDate>
  <CharactersWithSpaces>1335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2020-09-22T05:39:00Z</dcterms:created>
  <dc:creator>胡忠卿</dc:creator>
  <cp:lastModifiedBy>wy</cp:lastModifiedBy>
  <dcterms:modified xsi:type="dcterms:W3CDTF">2020-09-24T07:56:20Z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