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AC29C">
      <w:pPr>
        <w:jc w:val="center"/>
        <w:rPr>
          <w:rFonts w:ascii="黑体" w:hAnsi="黑体" w:eastAsia="黑体" w:cs="黑体"/>
          <w:sz w:val="44"/>
          <w:szCs w:val="32"/>
        </w:rPr>
      </w:pPr>
      <w:bookmarkStart w:id="23" w:name="_GoBack"/>
      <w:bookmarkEnd w:id="23"/>
      <w:r>
        <w:rPr>
          <w:rFonts w:hint="eastAsia" w:ascii="黑体" w:hAnsi="黑体" w:eastAsia="黑体" w:cs="黑体"/>
          <w:sz w:val="44"/>
          <w:szCs w:val="32"/>
        </w:rPr>
        <w:t>外国语学院2026年硕士研究生</w:t>
      </w:r>
    </w:p>
    <w:p w14:paraId="4EF7B1B3">
      <w:pPr>
        <w:jc w:val="center"/>
        <w:rPr>
          <w:sz w:val="44"/>
          <w:szCs w:val="32"/>
        </w:rPr>
      </w:pPr>
      <w:r>
        <w:rPr>
          <w:rFonts w:hint="eastAsia" w:ascii="黑体" w:hAnsi="黑体" w:eastAsia="黑体" w:cs="黑体"/>
          <w:sz w:val="44"/>
          <w:szCs w:val="32"/>
        </w:rPr>
        <w:t>调剂工作实施细则</w:t>
      </w:r>
    </w:p>
    <w:p w14:paraId="0F110A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rPr>
          <w:rFonts w:ascii="仿宋_GB2312" w:hAnsi="宋体" w:eastAsia="仿宋_GB2312" w:cs="宋体"/>
          <w:kern w:val="0"/>
          <w:sz w:val="32"/>
          <w:szCs w:val="32"/>
        </w:rPr>
      </w:pPr>
    </w:p>
    <w:p w14:paraId="626E67B6">
      <w:pPr>
        <w:pStyle w:val="6"/>
        <w:snapToGrid w:val="0"/>
        <w:spacing w:before="0" w:beforeAutospacing="0" w:after="0" w:afterAutospacing="0" w:line="580" w:lineRule="exact"/>
        <w:ind w:firstLine="640" w:firstLineChars="200"/>
        <w:jc w:val="both"/>
        <w:rPr>
          <w:rFonts w:ascii="仿宋_GB2312" w:eastAsia="仿宋_GB2312" w:cs="Times New Roman"/>
          <w:sz w:val="32"/>
          <w:szCs w:val="32"/>
        </w:rPr>
      </w:pPr>
      <w:r>
        <w:rPr>
          <w:rFonts w:hint="eastAsia" w:ascii="仿宋_GB2312" w:eastAsia="仿宋_GB2312" w:cs="Times New Roman"/>
          <w:color w:val="000000"/>
          <w:sz w:val="32"/>
          <w:szCs w:val="32"/>
        </w:rPr>
        <w:t>根据《南昌航空大学2026年硕士研究生复试录取工作办法》和《南昌航空大学2026年硕士研究生招生调剂工作办法》的具体要求, 为确保学院2026年硕士研究生生源质量和招生工作顺利进行，结合学院实际情况特制定本复试工作实施细则。</w:t>
      </w:r>
    </w:p>
    <w:p w14:paraId="42B4F2F6">
      <w:pPr>
        <w:pStyle w:val="6"/>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黑体" w:hAnsi="黑体" w:eastAsia="黑体" w:cs="黑体"/>
          <w:bCs/>
          <w:sz w:val="32"/>
          <w:szCs w:val="32"/>
        </w:rPr>
        <w:t>一、工作总则</w:t>
      </w:r>
    </w:p>
    <w:p w14:paraId="7A8E1D04">
      <w:pPr>
        <w:snapToGrid w:val="0"/>
        <w:spacing w:line="580" w:lineRule="exact"/>
        <w:ind w:firstLine="640" w:firstLineChars="200"/>
        <w:rPr>
          <w:rFonts w:ascii="仿宋_GB2312" w:eastAsia="仿宋_GB2312"/>
          <w:sz w:val="32"/>
          <w:szCs w:val="32"/>
          <w:shd w:val="clear" w:color="auto" w:fill="FFFFFF"/>
        </w:rPr>
      </w:pPr>
      <w:r>
        <w:rPr>
          <w:rFonts w:hint="eastAsia" w:ascii="仿宋_GB2312" w:hAnsi="仿宋" w:eastAsia="仿宋_GB2312"/>
          <w:sz w:val="32"/>
          <w:szCs w:val="32"/>
        </w:rPr>
        <w:t>（一）</w:t>
      </w:r>
      <w:r>
        <w:rPr>
          <w:rFonts w:hint="eastAsia" w:ascii="仿宋_GB2312" w:eastAsia="仿宋_GB2312"/>
          <w:sz w:val="32"/>
          <w:szCs w:val="32"/>
          <w:shd w:val="clear" w:color="auto" w:fill="FFFFFF"/>
        </w:rPr>
        <w:t>坚持按需招生、全面衡量、择优录取、宁缺毋滥的原则，严格按照有关文件规定，依据调剂基本条件和要求，择优选拔调剂考生进入复试。</w:t>
      </w:r>
    </w:p>
    <w:p w14:paraId="443DB309">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（二）所有调剂考生（包括外单位调剂考生、校内调剂考生），必须通过教育部指定的“调剂系统”进行调剂志愿的填报、复试通知的确认以及待录取通知的确认。</w:t>
      </w:r>
    </w:p>
    <w:p w14:paraId="4C8DF87C">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（三）调剂志愿锁定时间为</w:t>
      </w:r>
      <w:r>
        <w:rPr>
          <w:rFonts w:ascii="仿宋_GB2312" w:hAnsi="仿宋" w:eastAsia="仿宋_GB2312"/>
          <w:sz w:val="32"/>
          <w:szCs w:val="32"/>
        </w:rPr>
        <w:t>36</w:t>
      </w:r>
      <w:r>
        <w:rPr>
          <w:rFonts w:hint="eastAsia" w:ascii="仿宋_GB2312" w:hAnsi="仿宋" w:eastAsia="仿宋_GB2312"/>
          <w:sz w:val="32"/>
          <w:szCs w:val="32"/>
        </w:rPr>
        <w:t>小时，锁定期间原则上不得解锁。</w:t>
      </w:r>
    </w:p>
    <w:p w14:paraId="7762B6B3">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考生申请调剂前，可登录南昌航空大学研究生院网站查阅《南昌航空大学2026年硕士研究生招生专业目录》和《南昌航空大学（10406）2026年硕士研究生招生简章》，了解相关专业的报考条件、研究方向、初试科目、复试科目、学院联系方式等信息。</w:t>
      </w:r>
    </w:p>
    <w:p w14:paraId="3F650E30">
      <w:pPr>
        <w:pStyle w:val="6"/>
        <w:snapToGrid w:val="0"/>
        <w:spacing w:before="0" w:beforeAutospacing="0" w:after="0" w:afterAutospacing="0" w:line="58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二、组织领导</w:t>
      </w:r>
    </w:p>
    <w:p w14:paraId="3D91DBCC">
      <w:pPr>
        <w:pStyle w:val="6"/>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（一）成立</w:t>
      </w:r>
      <w:r>
        <w:rPr>
          <w:rFonts w:hint="eastAsia" w:ascii="仿宋_GB2312" w:eastAsia="仿宋_GB2312"/>
          <w:sz w:val="32"/>
        </w:rPr>
        <w:t>以学院主要负责人为组长、</w:t>
      </w:r>
      <w:r>
        <w:rPr>
          <w:rFonts w:hint="eastAsia" w:ascii="仿宋_GB2312" w:eastAsia="仿宋_GB2312" w:cs="仿宋_GB2312"/>
          <w:sz w:val="32"/>
          <w:szCs w:val="32"/>
          <w:lang w:bidi="ar"/>
        </w:rPr>
        <w:t>分管研究生招生工作院领导为副组长，由</w:t>
      </w:r>
      <w:r>
        <w:rPr>
          <w:rFonts w:hint="eastAsia" w:ascii="仿宋_GB2312" w:eastAsia="仿宋_GB2312"/>
          <w:sz w:val="32"/>
        </w:rPr>
        <w:t>学院党政领导、学位点负责人、副高及以上职称的指导教师等组成的研究生招生工作领导小组</w:t>
      </w:r>
      <w:r>
        <w:rPr>
          <w:rFonts w:hint="eastAsia" w:ascii="仿宋_GB2312" w:eastAsia="仿宋_GB2312" w:cs="Times New Roman"/>
          <w:color w:val="000000"/>
          <w:sz w:val="32"/>
          <w:szCs w:val="32"/>
        </w:rPr>
        <w:t>，负责制订我院复试录取工作具体实施细则。具体名单如下：</w:t>
      </w:r>
    </w:p>
    <w:p w14:paraId="471B031D">
      <w:pPr>
        <w:pStyle w:val="6"/>
        <w:snapToGrid w:val="0"/>
        <w:spacing w:before="0" w:beforeAutospacing="0" w:after="0" w:afterAutospacing="0" w:line="360" w:lineRule="auto"/>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组  长：徐筱秋</w:t>
      </w:r>
      <w:r>
        <w:rPr>
          <w:rFonts w:ascii="仿宋_GB2312" w:eastAsia="仿宋_GB2312" w:cs="Times New Roman"/>
          <w:sz w:val="32"/>
          <w:szCs w:val="32"/>
        </w:rPr>
        <w:t xml:space="preserve"> </w:t>
      </w:r>
      <w:r>
        <w:rPr>
          <w:rFonts w:hint="eastAsia" w:ascii="仿宋_GB2312" w:eastAsia="仿宋_GB2312" w:cs="Times New Roman"/>
          <w:sz w:val="32"/>
          <w:szCs w:val="32"/>
        </w:rPr>
        <w:t>王汉定</w:t>
      </w:r>
    </w:p>
    <w:p w14:paraId="43D802B0">
      <w:pPr>
        <w:pStyle w:val="6"/>
        <w:snapToGrid w:val="0"/>
        <w:spacing w:before="0" w:beforeAutospacing="0" w:after="0" w:afterAutospacing="0" w:line="360" w:lineRule="auto"/>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副组长：冯克红</w:t>
      </w:r>
    </w:p>
    <w:p w14:paraId="4E3CBD3A">
      <w:pPr>
        <w:pStyle w:val="6"/>
        <w:snapToGrid w:val="0"/>
        <w:spacing w:before="0" w:beforeAutospacing="0" w:after="0" w:afterAutospacing="0" w:line="360" w:lineRule="auto"/>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成  员：徐翰</w:t>
      </w:r>
      <w:r>
        <w:rPr>
          <w:rFonts w:ascii="仿宋_GB2312" w:eastAsia="仿宋_GB2312" w:cs="Times New Roman"/>
          <w:sz w:val="32"/>
          <w:szCs w:val="32"/>
        </w:rPr>
        <w:t xml:space="preserve"> 胡妮 袁玲 史敏岳 </w:t>
      </w:r>
    </w:p>
    <w:p w14:paraId="2ED6DBD4">
      <w:pPr>
        <w:pStyle w:val="6"/>
        <w:snapToGrid w:val="0"/>
        <w:spacing w:before="0" w:beforeAutospacing="0" w:after="0" w:afterAutospacing="0" w:line="360" w:lineRule="auto"/>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秘  书：陈晏蓓</w:t>
      </w:r>
    </w:p>
    <w:p w14:paraId="6F032238">
      <w:pPr>
        <w:snapToGrid w:val="0"/>
        <w:spacing w:line="58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（二）</w:t>
      </w:r>
      <w:r>
        <w:rPr>
          <w:rFonts w:hint="eastAsia" w:ascii="仿宋_GB2312" w:hAnsi="仿宋" w:eastAsia="仿宋_GB2312"/>
          <w:sz w:val="32"/>
          <w:szCs w:val="32"/>
        </w:rPr>
        <w:t>成立以学院纪检委员为组长的复试录取工作检查组，做好复试、录取过程中的督查工作，监督、检查本学院各专业复试小组的工作。具体名单如下：</w:t>
      </w:r>
    </w:p>
    <w:p w14:paraId="54A4C20F">
      <w:pPr>
        <w:snapToGrid w:val="0"/>
        <w:spacing w:line="580" w:lineRule="exact"/>
        <w:ind w:firstLine="640" w:firstLineChars="200"/>
        <w:jc w:val="left"/>
        <w:rPr>
          <w:rFonts w:ascii="仿宋_GB2312" w:hAnsi="仿宋" w:eastAsia="仿宋_GB2312"/>
          <w:sz w:val="32"/>
          <w:szCs w:val="32"/>
        </w:rPr>
      </w:pPr>
      <w:r>
        <w:rPr>
          <w:rFonts w:hint="eastAsia" w:ascii="仿宋_GB2312" w:hAnsi="仿宋" w:eastAsia="仿宋_GB2312"/>
          <w:bCs/>
          <w:sz w:val="32"/>
          <w:szCs w:val="32"/>
        </w:rPr>
        <w:t>组</w:t>
      </w:r>
      <w:r>
        <w:rPr>
          <w:rFonts w:ascii="仿宋_GB2312" w:hAnsi="仿宋" w:eastAsia="仿宋_GB2312"/>
          <w:bCs/>
          <w:sz w:val="32"/>
          <w:szCs w:val="32"/>
        </w:rPr>
        <w:t xml:space="preserve">  </w:t>
      </w:r>
      <w:r>
        <w:rPr>
          <w:rFonts w:hint="eastAsia" w:ascii="仿宋_GB2312" w:hAnsi="仿宋" w:eastAsia="仿宋_GB2312"/>
          <w:bCs/>
          <w:sz w:val="32"/>
          <w:szCs w:val="32"/>
        </w:rPr>
        <w:t>长：蔡毅</w:t>
      </w:r>
    </w:p>
    <w:p w14:paraId="2EF4C3FE">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成</w:t>
      </w:r>
      <w:r>
        <w:rPr>
          <w:rFonts w:ascii="仿宋_GB2312" w:hAnsi="仿宋" w:eastAsia="仿宋_GB2312"/>
          <w:bCs/>
          <w:sz w:val="32"/>
          <w:szCs w:val="32"/>
        </w:rPr>
        <w:t xml:space="preserve">  </w:t>
      </w:r>
      <w:r>
        <w:rPr>
          <w:rFonts w:hint="eastAsia" w:ascii="仿宋_GB2312" w:hAnsi="仿宋" w:eastAsia="仿宋_GB2312"/>
          <w:bCs/>
          <w:sz w:val="32"/>
          <w:szCs w:val="32"/>
        </w:rPr>
        <w:t>员：刘琳（抽调）</w:t>
      </w:r>
      <w:r>
        <w:rPr>
          <w:rFonts w:hint="eastAsia" w:ascii="仿宋_GB2312" w:hAnsi="仿宋" w:eastAsia="仿宋_GB2312"/>
          <w:sz w:val="32"/>
          <w:szCs w:val="32"/>
        </w:rPr>
        <w:t>、</w:t>
      </w:r>
      <w:r>
        <w:rPr>
          <w:rFonts w:ascii="仿宋_GB2312" w:hAnsi="仿宋" w:eastAsia="仿宋_GB2312"/>
          <w:sz w:val="32"/>
          <w:szCs w:val="32"/>
        </w:rPr>
        <w:t>夏迎</w:t>
      </w:r>
      <w:r>
        <w:rPr>
          <w:rFonts w:hint="eastAsia" w:ascii="仿宋_GB2312" w:hAnsi="仿宋" w:eastAsia="仿宋_GB2312"/>
          <w:sz w:val="32"/>
          <w:szCs w:val="32"/>
        </w:rPr>
        <w:t>庆</w:t>
      </w:r>
    </w:p>
    <w:p w14:paraId="67938118">
      <w:pPr>
        <w:pStyle w:val="6"/>
        <w:numPr>
          <w:ilvl w:val="0"/>
          <w:numId w:val="1"/>
        </w:numPr>
        <w:snapToGrid w:val="0"/>
        <w:spacing w:before="0" w:beforeAutospacing="0" w:after="0" w:afterAutospacing="0" w:line="580" w:lineRule="exact"/>
        <w:ind w:firstLine="640" w:firstLineChars="200"/>
        <w:jc w:val="both"/>
        <w:rPr>
          <w:rFonts w:ascii="黑体" w:hAnsi="黑体" w:eastAsia="黑体"/>
          <w:sz w:val="32"/>
          <w:szCs w:val="32"/>
        </w:rPr>
      </w:pPr>
      <w:r>
        <w:rPr>
          <w:rFonts w:hint="eastAsia" w:ascii="黑体" w:hAnsi="黑体" w:eastAsia="黑体"/>
          <w:sz w:val="32"/>
          <w:szCs w:val="32"/>
        </w:rPr>
        <w:t>调剂基本原则</w:t>
      </w:r>
    </w:p>
    <w:p w14:paraId="38C20E44">
      <w:pPr>
        <w:wordWrap w:val="0"/>
        <w:snapToGrid w:val="0"/>
        <w:spacing w:line="580" w:lineRule="exact"/>
        <w:ind w:firstLine="640" w:firstLineChars="200"/>
        <w:rPr>
          <w:rFonts w:ascii="仿宋_GB2312" w:hAnsi="宋体" w:eastAsia="仿宋_GB2312" w:cs="宋体"/>
          <w:kern w:val="0"/>
          <w:sz w:val="32"/>
        </w:rPr>
      </w:pPr>
      <w:r>
        <w:rPr>
          <w:rFonts w:hint="eastAsia" w:ascii="仿宋_GB2312" w:hAnsi="宋体" w:eastAsia="仿宋_GB2312" w:cs="宋体"/>
          <w:kern w:val="0"/>
          <w:sz w:val="32"/>
        </w:rPr>
        <w:t>（一）参加调剂的考生必须符合《南昌航空大学2026年硕士研究生招生简章》（https://yjs.nchu.edu.cn/zsgz/zsjz/content_184399）中各专业的报考条件。</w:t>
      </w:r>
    </w:p>
    <w:p w14:paraId="6BC2885A">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ascii="仿宋_GB2312" w:hAnsi="宋体" w:eastAsia="仿宋_GB2312" w:cs="宋体"/>
          <w:kern w:val="0"/>
          <w:sz w:val="32"/>
        </w:rPr>
        <w:t>初试成绩符合第一志愿报考专业</w:t>
      </w:r>
      <w:r>
        <w:rPr>
          <w:rFonts w:hint="eastAsia" w:ascii="仿宋_GB2312" w:hAnsi="宋体" w:eastAsia="仿宋_GB2312" w:cs="宋体"/>
          <w:kern w:val="0"/>
          <w:sz w:val="32"/>
        </w:rPr>
        <w:t>A类考生国家线，且</w:t>
      </w:r>
      <w:r>
        <w:rPr>
          <w:rFonts w:ascii="仿宋_GB2312" w:hAnsi="宋体" w:eastAsia="仿宋_GB2312" w:cs="宋体"/>
          <w:kern w:val="0"/>
          <w:sz w:val="32"/>
        </w:rPr>
        <w:t>初试成绩符合</w:t>
      </w:r>
      <w:r>
        <w:rPr>
          <w:rFonts w:hint="eastAsia" w:ascii="仿宋_GB2312" w:hAnsi="宋体" w:eastAsia="仿宋_GB2312" w:cs="宋体"/>
          <w:kern w:val="0"/>
          <w:sz w:val="32"/>
        </w:rPr>
        <w:t>调入专业A类考生国家线。</w:t>
      </w:r>
    </w:p>
    <w:p w14:paraId="589A7AFE">
      <w:pPr>
        <w:snapToGrid w:val="0"/>
        <w:spacing w:line="580" w:lineRule="exact"/>
        <w:ind w:firstLine="640" w:firstLineChars="200"/>
        <w:rPr>
          <w:rFonts w:ascii="仿宋_GB2312" w:hAnsi="宋体" w:eastAsia="仿宋_GB2312" w:cs="宋体"/>
          <w:kern w:val="0"/>
          <w:sz w:val="32"/>
        </w:rPr>
      </w:pPr>
      <w:r>
        <w:rPr>
          <w:rFonts w:hint="eastAsia" w:ascii="仿宋_GB2312" w:hAnsi="仿宋" w:eastAsia="仿宋_GB2312"/>
          <w:sz w:val="32"/>
          <w:szCs w:val="32"/>
        </w:rPr>
        <w:t>（三）</w:t>
      </w:r>
      <w:r>
        <w:rPr>
          <w:rStyle w:val="35"/>
          <w:rFonts w:hint="default"/>
        </w:rPr>
        <w:t>原则上，</w:t>
      </w:r>
      <w:r>
        <w:rPr>
          <w:rFonts w:hint="eastAsia" w:ascii="仿宋_GB2312" w:hAnsi="宋体" w:eastAsia="仿宋_GB2312" w:cs="宋体"/>
          <w:kern w:val="0"/>
          <w:sz w:val="32"/>
        </w:rPr>
        <w:t>调剂考生第一志愿专业与调入专业相同相近,</w:t>
      </w:r>
      <w:r>
        <w:t xml:space="preserve"> </w:t>
      </w:r>
      <w:r>
        <w:rPr>
          <w:rStyle w:val="35"/>
          <w:rFonts w:hint="default"/>
        </w:rPr>
        <w:t>或初试科目与调入专业初试科目相同相近。</w:t>
      </w:r>
      <w:r>
        <w:rPr>
          <w:rFonts w:hint="eastAsia" w:ascii="仿宋_GB2312" w:hAnsi="宋体" w:eastAsia="仿宋_GB2312" w:cs="宋体"/>
          <w:kern w:val="0"/>
          <w:sz w:val="32"/>
        </w:rPr>
        <w:t>根据拟调入专业，调剂考生第一志愿须为：英语语言文学（</w:t>
      </w:r>
      <w:r>
        <w:rPr>
          <w:rFonts w:ascii="仿宋_GB2312" w:hAnsi="宋体" w:eastAsia="仿宋_GB2312" w:cs="宋体"/>
          <w:kern w:val="0"/>
          <w:sz w:val="32"/>
        </w:rPr>
        <w:t>050201</w:t>
      </w:r>
      <w:r>
        <w:rPr>
          <w:rFonts w:hint="eastAsia" w:ascii="仿宋_GB2312" w:hAnsi="宋体" w:eastAsia="仿宋_GB2312" w:cs="宋体"/>
          <w:kern w:val="0"/>
          <w:sz w:val="32"/>
        </w:rPr>
        <w:t>）；外国语言学及应用语言学（</w:t>
      </w:r>
      <w:r>
        <w:rPr>
          <w:rFonts w:ascii="仿宋_GB2312" w:hAnsi="宋体" w:eastAsia="仿宋_GB2312" w:cs="宋体"/>
          <w:kern w:val="0"/>
          <w:sz w:val="32"/>
        </w:rPr>
        <w:t>050211</w:t>
      </w:r>
      <w:r>
        <w:rPr>
          <w:rFonts w:hint="eastAsia" w:ascii="仿宋_GB2312" w:hAnsi="宋体" w:eastAsia="仿宋_GB2312" w:cs="宋体"/>
          <w:kern w:val="0"/>
          <w:sz w:val="32"/>
        </w:rPr>
        <w:t>）。</w:t>
      </w:r>
    </w:p>
    <w:p w14:paraId="43E7E65B">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（四）对申请同一专业、初试科目完全相同的调剂考生，在符合学院附加选拔条件的情况下，按考生初试成绩择优确定进入复试的考生名单。</w:t>
      </w:r>
    </w:p>
    <w:p w14:paraId="60A6DF81">
      <w:pPr>
        <w:widowControl/>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（五）</w:t>
      </w:r>
      <w:r>
        <w:rPr>
          <w:rFonts w:ascii="仿宋_GB2312" w:hAnsi="仿宋" w:eastAsia="仿宋_GB2312"/>
          <w:sz w:val="32"/>
          <w:szCs w:val="32"/>
        </w:rPr>
        <w:t>对申请同一专业，初试科目不完全相同的调剂考生，由于考生一志愿报考高校差异，考生</w:t>
      </w:r>
      <w:r>
        <w:rPr>
          <w:rFonts w:hint="eastAsia" w:ascii="仿宋_GB2312" w:hAnsi="仿宋" w:eastAsia="仿宋_GB2312"/>
          <w:sz w:val="32"/>
          <w:szCs w:val="32"/>
        </w:rPr>
        <w:t>初试成绩</w:t>
      </w:r>
      <w:r>
        <w:rPr>
          <w:rFonts w:ascii="仿宋_GB2312" w:hAnsi="仿宋" w:eastAsia="仿宋_GB2312"/>
          <w:sz w:val="32"/>
          <w:szCs w:val="32"/>
        </w:rPr>
        <w:t>不具备可比性，</w:t>
      </w:r>
      <w:r>
        <w:rPr>
          <w:rFonts w:hint="eastAsia" w:ascii="仿宋_GB2312" w:hAnsi="仿宋" w:eastAsia="仿宋_GB2312"/>
          <w:sz w:val="32"/>
          <w:szCs w:val="32"/>
        </w:rPr>
        <w:t>学院将</w:t>
      </w:r>
      <w:r>
        <w:rPr>
          <w:rFonts w:ascii="仿宋_GB2312" w:hAnsi="仿宋" w:eastAsia="仿宋_GB2312"/>
          <w:sz w:val="32"/>
          <w:szCs w:val="32"/>
        </w:rPr>
        <w:t>综合考量择优确定进入复试的考生名单。</w:t>
      </w:r>
    </w:p>
    <w:p w14:paraId="0EC3C19F">
      <w:pPr>
        <w:pStyle w:val="6"/>
        <w:numPr>
          <w:ilvl w:val="0"/>
          <w:numId w:val="1"/>
        </w:numPr>
        <w:shd w:val="clear" w:color="auto" w:fill="FFFFFF"/>
        <w:snapToGrid w:val="0"/>
        <w:spacing w:before="0" w:beforeAutospacing="0" w:after="0" w:afterAutospacing="0" w:line="580" w:lineRule="exact"/>
        <w:ind w:firstLine="640" w:firstLineChars="200"/>
        <w:jc w:val="both"/>
        <w:rPr>
          <w:rFonts w:ascii="黑体" w:hAnsi="黑体" w:eastAsia="黑体"/>
          <w:sz w:val="32"/>
          <w:szCs w:val="32"/>
        </w:rPr>
      </w:pPr>
      <w:r>
        <w:rPr>
          <w:rFonts w:hint="eastAsia" w:ascii="黑体" w:hAnsi="黑体" w:eastAsia="黑体"/>
          <w:sz w:val="32"/>
          <w:szCs w:val="32"/>
        </w:rPr>
        <w:t>需调剂专业</w:t>
      </w:r>
    </w:p>
    <w:tbl>
      <w:tblPr>
        <w:tblStyle w:val="7"/>
        <w:tblW w:w="7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38"/>
        <w:gridCol w:w="1968"/>
        <w:gridCol w:w="1187"/>
        <w:gridCol w:w="3292"/>
      </w:tblGrid>
      <w:tr w14:paraId="362C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338" w:type="dxa"/>
            <w:shd w:val="clear" w:color="auto" w:fill="auto"/>
            <w:tcMar>
              <w:top w:w="0" w:type="dxa"/>
              <w:left w:w="105" w:type="dxa"/>
              <w:bottom w:w="0" w:type="dxa"/>
              <w:right w:w="105" w:type="dxa"/>
            </w:tcMar>
            <w:vAlign w:val="center"/>
          </w:tcPr>
          <w:p w14:paraId="3060F1AE">
            <w:pPr>
              <w:widowControl/>
              <w:spacing w:after="156" w:afterLines="50" w:line="440" w:lineRule="exact"/>
              <w:jc w:val="center"/>
              <w:rPr>
                <w:rFonts w:ascii="宋体" w:hAnsi="宋体" w:cs="宋体"/>
                <w:kern w:val="0"/>
                <w:sz w:val="24"/>
              </w:rPr>
            </w:pPr>
            <w:r>
              <w:rPr>
                <w:rFonts w:hint="eastAsia" w:ascii="微软雅黑" w:hAnsi="微软雅黑" w:eastAsia="微软雅黑" w:cs="宋体"/>
                <w:kern w:val="0"/>
                <w:sz w:val="24"/>
              </w:rPr>
              <w:t>专业代码</w:t>
            </w:r>
          </w:p>
        </w:tc>
        <w:tc>
          <w:tcPr>
            <w:tcW w:w="1968" w:type="dxa"/>
            <w:shd w:val="clear" w:color="auto" w:fill="auto"/>
            <w:tcMar>
              <w:top w:w="0" w:type="dxa"/>
              <w:left w:w="105" w:type="dxa"/>
              <w:bottom w:w="0" w:type="dxa"/>
              <w:right w:w="105" w:type="dxa"/>
            </w:tcMar>
            <w:vAlign w:val="center"/>
          </w:tcPr>
          <w:p w14:paraId="6C501C1D">
            <w:pPr>
              <w:widowControl/>
              <w:spacing w:after="156" w:afterLines="50" w:line="440" w:lineRule="exact"/>
              <w:jc w:val="center"/>
              <w:rPr>
                <w:rFonts w:ascii="宋体" w:hAnsi="宋体" w:cs="宋体"/>
                <w:kern w:val="0"/>
                <w:sz w:val="24"/>
              </w:rPr>
            </w:pPr>
            <w:r>
              <w:rPr>
                <w:rFonts w:hint="eastAsia" w:ascii="微软雅黑" w:hAnsi="微软雅黑" w:eastAsia="微软雅黑" w:cs="宋体"/>
                <w:kern w:val="0"/>
                <w:sz w:val="24"/>
              </w:rPr>
              <w:t>专业名称</w:t>
            </w:r>
          </w:p>
        </w:tc>
        <w:tc>
          <w:tcPr>
            <w:tcW w:w="1187" w:type="dxa"/>
            <w:vAlign w:val="center"/>
          </w:tcPr>
          <w:p w14:paraId="47F5441D">
            <w:pPr>
              <w:widowControl/>
              <w:spacing w:after="156" w:afterLines="50" w:line="440" w:lineRule="exact"/>
              <w:jc w:val="center"/>
              <w:rPr>
                <w:rFonts w:ascii="微软雅黑" w:hAnsi="微软雅黑" w:eastAsia="微软雅黑" w:cs="宋体"/>
                <w:kern w:val="0"/>
                <w:sz w:val="24"/>
              </w:rPr>
            </w:pPr>
            <w:r>
              <w:rPr>
                <w:rFonts w:hint="eastAsia" w:ascii="微软雅黑" w:hAnsi="微软雅黑" w:eastAsia="微软雅黑" w:cs="宋体"/>
                <w:kern w:val="0"/>
                <w:sz w:val="24"/>
              </w:rPr>
              <w:t>学习方式</w:t>
            </w:r>
          </w:p>
        </w:tc>
        <w:tc>
          <w:tcPr>
            <w:tcW w:w="3292" w:type="dxa"/>
            <w:shd w:val="clear" w:color="auto" w:fill="auto"/>
            <w:tcMar>
              <w:top w:w="0" w:type="dxa"/>
              <w:left w:w="105" w:type="dxa"/>
              <w:bottom w:w="0" w:type="dxa"/>
              <w:right w:w="105" w:type="dxa"/>
            </w:tcMar>
            <w:vAlign w:val="center"/>
          </w:tcPr>
          <w:p w14:paraId="0427DEA7">
            <w:pPr>
              <w:widowControl/>
              <w:spacing w:after="156" w:afterLines="50" w:line="440" w:lineRule="exact"/>
              <w:jc w:val="center"/>
              <w:rPr>
                <w:rFonts w:ascii="宋体" w:hAnsi="宋体" w:cs="宋体"/>
                <w:kern w:val="0"/>
                <w:sz w:val="24"/>
              </w:rPr>
            </w:pPr>
            <w:r>
              <w:rPr>
                <w:rFonts w:hint="eastAsia" w:ascii="微软雅黑" w:hAnsi="微软雅黑" w:eastAsia="微软雅黑" w:cs="宋体"/>
                <w:kern w:val="0"/>
                <w:sz w:val="24"/>
              </w:rPr>
              <w:t>备注</w:t>
            </w:r>
          </w:p>
        </w:tc>
      </w:tr>
      <w:tr w14:paraId="7F6A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3" w:hRule="atLeast"/>
          <w:jc w:val="center"/>
        </w:trPr>
        <w:tc>
          <w:tcPr>
            <w:tcW w:w="1338" w:type="dxa"/>
            <w:shd w:val="clear" w:color="auto" w:fill="auto"/>
            <w:tcMar>
              <w:top w:w="0" w:type="dxa"/>
              <w:left w:w="105" w:type="dxa"/>
              <w:bottom w:w="0" w:type="dxa"/>
              <w:right w:w="105" w:type="dxa"/>
            </w:tcMar>
            <w:vAlign w:val="center"/>
          </w:tcPr>
          <w:p w14:paraId="09CAA430">
            <w:pPr>
              <w:widowControl/>
              <w:spacing w:after="156" w:afterLines="50" w:line="44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050201</w:t>
            </w:r>
          </w:p>
        </w:tc>
        <w:tc>
          <w:tcPr>
            <w:tcW w:w="1968" w:type="dxa"/>
            <w:shd w:val="clear" w:color="auto" w:fill="auto"/>
            <w:tcMar>
              <w:top w:w="0" w:type="dxa"/>
              <w:left w:w="105" w:type="dxa"/>
              <w:bottom w:w="0" w:type="dxa"/>
              <w:right w:w="105" w:type="dxa"/>
            </w:tcMar>
            <w:vAlign w:val="center"/>
          </w:tcPr>
          <w:p w14:paraId="2EDB0BE4">
            <w:pPr>
              <w:widowControl/>
              <w:spacing w:after="156" w:afterLines="50" w:line="44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英语语言文学</w:t>
            </w:r>
          </w:p>
        </w:tc>
        <w:tc>
          <w:tcPr>
            <w:tcW w:w="1187" w:type="dxa"/>
            <w:vAlign w:val="center"/>
          </w:tcPr>
          <w:p w14:paraId="0EE2D096">
            <w:pPr>
              <w:spacing w:line="440" w:lineRule="exact"/>
              <w:jc w:val="center"/>
              <w:rPr>
                <w:rFonts w:ascii="仿宋_GB2312" w:hAnsi="仿宋" w:eastAsia="仿宋_GB2312"/>
                <w:sz w:val="28"/>
                <w:szCs w:val="28"/>
              </w:rPr>
            </w:pPr>
            <w:r>
              <w:rPr>
                <w:rFonts w:hint="eastAsia" w:ascii="仿宋_GB2312" w:hAnsi="仿宋" w:eastAsia="仿宋_GB2312"/>
                <w:sz w:val="28"/>
                <w:szCs w:val="28"/>
              </w:rPr>
              <w:t>全日制</w:t>
            </w:r>
          </w:p>
        </w:tc>
        <w:tc>
          <w:tcPr>
            <w:tcW w:w="3292" w:type="dxa"/>
            <w:vMerge w:val="restart"/>
            <w:shd w:val="clear" w:color="auto" w:fill="auto"/>
            <w:tcMar>
              <w:top w:w="0" w:type="dxa"/>
              <w:left w:w="105" w:type="dxa"/>
              <w:bottom w:w="0" w:type="dxa"/>
              <w:right w:w="105" w:type="dxa"/>
            </w:tcMar>
          </w:tcPr>
          <w:p w14:paraId="3BC23865">
            <w:pPr>
              <w:widowControl/>
              <w:shd w:val="clear" w:color="auto" w:fill="FFFFFF"/>
              <w:tabs>
                <w:tab w:val="left" w:pos="567"/>
                <w:tab w:val="left" w:pos="1134"/>
              </w:tabs>
              <w:spacing w:after="156" w:afterLines="50"/>
              <w:ind w:left="-2" w:leftChars="-1"/>
              <w:rPr>
                <w:rFonts w:ascii="楷体_GB2312" w:hAnsi="宋体" w:eastAsia="楷体_GB2312"/>
                <w:sz w:val="28"/>
                <w:szCs w:val="28"/>
              </w:rPr>
            </w:pPr>
            <w:r>
              <w:rPr>
                <w:rFonts w:hint="eastAsia" w:ascii="仿宋_GB2312" w:hAnsi="仿宋" w:eastAsia="仿宋_GB2312" w:cs="宋体"/>
                <w:kern w:val="0"/>
                <w:sz w:val="28"/>
                <w:szCs w:val="28"/>
              </w:rPr>
              <w:t>具有所报考专业四八级证书、具有所报考专业全国性专业竞赛决赛获奖证书，同等条件下可优考虑。</w:t>
            </w:r>
          </w:p>
        </w:tc>
      </w:tr>
      <w:tr w14:paraId="792F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338" w:type="dxa"/>
            <w:shd w:val="clear" w:color="auto" w:fill="auto"/>
            <w:tcMar>
              <w:top w:w="0" w:type="dxa"/>
              <w:left w:w="105" w:type="dxa"/>
              <w:bottom w:w="0" w:type="dxa"/>
              <w:right w:w="105" w:type="dxa"/>
            </w:tcMar>
            <w:vAlign w:val="center"/>
          </w:tcPr>
          <w:p w14:paraId="0717A935">
            <w:pPr>
              <w:widowControl/>
              <w:spacing w:after="156" w:afterLines="50" w:line="44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050211</w:t>
            </w:r>
          </w:p>
        </w:tc>
        <w:tc>
          <w:tcPr>
            <w:tcW w:w="1968" w:type="dxa"/>
            <w:shd w:val="clear" w:color="auto" w:fill="auto"/>
            <w:tcMar>
              <w:top w:w="0" w:type="dxa"/>
              <w:left w:w="105" w:type="dxa"/>
              <w:bottom w:w="0" w:type="dxa"/>
              <w:right w:w="105" w:type="dxa"/>
            </w:tcMar>
            <w:vAlign w:val="center"/>
          </w:tcPr>
          <w:p w14:paraId="4DCE703A">
            <w:pPr>
              <w:widowControl/>
              <w:spacing w:after="156" w:afterLines="50" w:line="44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外国语言学及应用语言学</w:t>
            </w:r>
          </w:p>
        </w:tc>
        <w:tc>
          <w:tcPr>
            <w:tcW w:w="1187" w:type="dxa"/>
            <w:vAlign w:val="center"/>
          </w:tcPr>
          <w:p w14:paraId="6CEE187E">
            <w:pPr>
              <w:spacing w:line="440" w:lineRule="exact"/>
              <w:jc w:val="center"/>
              <w:rPr>
                <w:rFonts w:ascii="仿宋_GB2312" w:hAnsi="仿宋" w:eastAsia="仿宋_GB2312"/>
                <w:sz w:val="28"/>
                <w:szCs w:val="28"/>
              </w:rPr>
            </w:pPr>
            <w:r>
              <w:rPr>
                <w:rFonts w:hint="eastAsia" w:ascii="仿宋_GB2312" w:hAnsi="仿宋" w:eastAsia="仿宋_GB2312"/>
                <w:sz w:val="28"/>
                <w:szCs w:val="28"/>
              </w:rPr>
              <w:t>全日制</w:t>
            </w:r>
          </w:p>
        </w:tc>
        <w:tc>
          <w:tcPr>
            <w:tcW w:w="3292" w:type="dxa"/>
            <w:vMerge w:val="continue"/>
            <w:shd w:val="clear" w:color="auto" w:fill="auto"/>
            <w:tcMar>
              <w:top w:w="0" w:type="dxa"/>
              <w:left w:w="105" w:type="dxa"/>
              <w:bottom w:w="0" w:type="dxa"/>
              <w:right w:w="105" w:type="dxa"/>
            </w:tcMar>
          </w:tcPr>
          <w:p w14:paraId="162CAA8F">
            <w:pPr>
              <w:pStyle w:val="34"/>
              <w:shd w:val="clear" w:color="auto" w:fill="FFFFFF"/>
              <w:tabs>
                <w:tab w:val="left" w:pos="567"/>
                <w:tab w:val="left" w:pos="1134"/>
              </w:tabs>
              <w:spacing w:line="440" w:lineRule="exact"/>
              <w:ind w:left="-2" w:leftChars="-1" w:firstLine="560"/>
              <w:rPr>
                <w:rFonts w:ascii="宋体" w:hAnsi="宋体"/>
                <w:sz w:val="28"/>
                <w:szCs w:val="28"/>
              </w:rPr>
            </w:pPr>
          </w:p>
        </w:tc>
      </w:tr>
    </w:tbl>
    <w:p w14:paraId="42DD0539">
      <w:pPr>
        <w:pStyle w:val="6"/>
        <w:snapToGrid w:val="0"/>
        <w:spacing w:before="0" w:beforeAutospacing="0" w:after="0" w:afterAutospacing="0" w:line="580" w:lineRule="exact"/>
        <w:ind w:firstLine="640" w:firstLineChars="200"/>
        <w:rPr>
          <w:rFonts w:ascii="黑体" w:hAnsi="黑体" w:eastAsia="黑体"/>
          <w:sz w:val="32"/>
          <w:szCs w:val="32"/>
        </w:rPr>
      </w:pPr>
      <w:r>
        <w:rPr>
          <w:rFonts w:hint="eastAsia" w:ascii="黑体" w:hAnsi="黑体" w:eastAsia="黑体"/>
          <w:sz w:val="32"/>
          <w:szCs w:val="32"/>
        </w:rPr>
        <w:t>五、调剂工作程序</w:t>
      </w:r>
    </w:p>
    <w:p w14:paraId="3A517FB9">
      <w:pPr>
        <w:pStyle w:val="6"/>
        <w:wordWrap w:val="0"/>
        <w:spacing w:before="0" w:beforeAutospacing="0" w:after="0" w:afterAutospacing="0" w:line="580" w:lineRule="atLeast"/>
        <w:ind w:firstLine="634"/>
        <w:jc w:val="both"/>
        <w:rPr>
          <w:rFonts w:ascii="仿宋_GB2312" w:eastAsia="仿宋_GB2312"/>
          <w:color w:val="000000"/>
          <w:sz w:val="32"/>
          <w:szCs w:val="32"/>
        </w:rPr>
      </w:pPr>
      <w:r>
        <w:rPr>
          <w:rFonts w:hint="eastAsia" w:ascii="仿宋_GB2312" w:eastAsia="仿宋_GB2312"/>
          <w:color w:val="000000"/>
          <w:sz w:val="32"/>
          <w:szCs w:val="32"/>
        </w:rPr>
        <w:t>（一）报名</w:t>
      </w:r>
    </w:p>
    <w:p w14:paraId="7ECD6DF4">
      <w:pPr>
        <w:pStyle w:val="6"/>
        <w:wordWrap w:val="0"/>
        <w:spacing w:before="0" w:beforeAutospacing="0" w:after="0" w:afterAutospacing="0" w:line="580" w:lineRule="atLeast"/>
        <w:ind w:firstLine="634"/>
        <w:jc w:val="both"/>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我院将在调剂系统开通前发布调剂通告，告知考生调剂专业、缺额、遴选条件以及具体开通时间，请考生准时登陆研招网填报。</w:t>
      </w:r>
    </w:p>
    <w:p w14:paraId="10401F09">
      <w:pPr>
        <w:pStyle w:val="6"/>
        <w:wordWrap w:val="0"/>
        <w:spacing w:before="0" w:beforeAutospacing="0" w:after="0" w:afterAutospacing="0" w:line="580" w:lineRule="atLeast"/>
        <w:ind w:firstLine="634"/>
        <w:jc w:val="both"/>
        <w:rPr>
          <w:rFonts w:ascii="仿宋_GB2312" w:eastAsia="仿宋_GB2312"/>
          <w:color w:val="000000"/>
          <w:sz w:val="32"/>
          <w:szCs w:val="32"/>
        </w:rPr>
      </w:pPr>
      <w:r>
        <w:rPr>
          <w:rFonts w:ascii="仿宋_GB2312" w:eastAsia="仿宋_GB2312"/>
          <w:color w:val="000000"/>
          <w:sz w:val="32"/>
          <w:szCs w:val="32"/>
        </w:rPr>
        <w:t>2.每次开放调剂系统持续时间不低于12小时。</w:t>
      </w:r>
    </w:p>
    <w:p w14:paraId="1035BF9E">
      <w:pPr>
        <w:pStyle w:val="6"/>
        <w:wordWrap w:val="0"/>
        <w:spacing w:before="0" w:beforeAutospacing="0" w:after="0" w:afterAutospacing="0" w:line="580" w:lineRule="atLeast"/>
        <w:ind w:firstLine="634"/>
        <w:jc w:val="both"/>
        <w:rPr>
          <w:rFonts w:ascii="仿宋_GB2312" w:eastAsia="仿宋_GB2312"/>
          <w:color w:val="000000"/>
          <w:sz w:val="32"/>
          <w:szCs w:val="32"/>
        </w:rPr>
      </w:pPr>
      <w:r>
        <w:rPr>
          <w:rFonts w:ascii="仿宋_GB2312" w:eastAsia="仿宋_GB2312"/>
          <w:color w:val="000000"/>
          <w:sz w:val="32"/>
          <w:szCs w:val="32"/>
        </w:rPr>
        <w:t>3.每一个系统开放时间段内申请同一专业（方向）的考生视为同一批次。</w:t>
      </w:r>
    </w:p>
    <w:p w14:paraId="314F23EF">
      <w:pPr>
        <w:pStyle w:val="6"/>
        <w:wordWrap w:val="0"/>
        <w:spacing w:before="0" w:beforeAutospacing="0" w:after="0" w:afterAutospacing="0" w:line="580" w:lineRule="atLeast"/>
        <w:ind w:firstLine="634"/>
        <w:jc w:val="both"/>
        <w:rPr>
          <w:rFonts w:ascii="仿宋_GB2312" w:eastAsia="仿宋_GB2312"/>
          <w:color w:val="000000"/>
          <w:sz w:val="32"/>
          <w:szCs w:val="32"/>
        </w:rPr>
      </w:pPr>
      <w:r>
        <w:rPr>
          <w:rFonts w:hint="eastAsia" w:ascii="仿宋_GB2312" w:eastAsia="仿宋_GB2312"/>
          <w:color w:val="000000"/>
          <w:sz w:val="32"/>
          <w:szCs w:val="32"/>
        </w:rPr>
        <w:t>（二）选拔</w:t>
      </w:r>
    </w:p>
    <w:p w14:paraId="75DA19E2">
      <w:pPr>
        <w:pStyle w:val="6"/>
        <w:wordWrap w:val="0"/>
        <w:spacing w:before="0" w:beforeAutospacing="0" w:after="0" w:afterAutospacing="0" w:line="580" w:lineRule="atLeast"/>
        <w:ind w:firstLine="634"/>
        <w:jc w:val="both"/>
        <w:rPr>
          <w:rFonts w:ascii="仿宋_GB2312" w:eastAsia="仿宋_GB2312"/>
          <w:color w:val="000000"/>
          <w:sz w:val="32"/>
          <w:szCs w:val="32"/>
        </w:rPr>
      </w:pPr>
      <w:r>
        <w:rPr>
          <w:rFonts w:ascii="仿宋_GB2312" w:eastAsia="仿宋_GB2312"/>
          <w:color w:val="000000"/>
          <w:sz w:val="32"/>
          <w:szCs w:val="32"/>
        </w:rPr>
        <w:t>1.根据本实施细则及调剂通告对调剂考生进行择优选拔。不同批次之间的选拔标准不具备比较性。</w:t>
      </w:r>
    </w:p>
    <w:p w14:paraId="1555EB18">
      <w:pPr>
        <w:pStyle w:val="6"/>
        <w:wordWrap w:val="0"/>
        <w:spacing w:before="0" w:beforeAutospacing="0" w:after="0" w:afterAutospacing="0" w:line="580" w:lineRule="atLeast"/>
        <w:ind w:firstLine="634"/>
        <w:jc w:val="both"/>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在合适的时间范围内通过调剂系统管理平台向初选调剂考生发送复试通知。考生应密切关注相关通知，须在通知规定的时间内通过调剂系统接受或拒绝复试通知，逾期视为主动放弃复试资格。发送复试通知后，如考生未及时通过系统反馈结果，学院将在合适的时间范围内，通过研招网系统中的考生个人电话，联系并告知考生逾期后果。确实联系不上，且超过通知规定时间的或已接受了其他招生单位的待录取通知的，可视作主动放弃复试资格，学校有权取消复试通知。如距离复试仍有充足时间，可酌情考虑给递补考生发送复试通知。</w:t>
      </w:r>
    </w:p>
    <w:p w14:paraId="7AC076B7">
      <w:pPr>
        <w:pStyle w:val="6"/>
        <w:wordWrap w:val="0"/>
        <w:spacing w:before="0" w:beforeAutospacing="0" w:after="0" w:afterAutospacing="0" w:line="580" w:lineRule="atLeast"/>
        <w:ind w:firstLine="634"/>
        <w:jc w:val="both"/>
        <w:rPr>
          <w:rFonts w:ascii="仿宋_GB2312" w:eastAsia="仿宋_GB2312"/>
          <w:color w:val="000000"/>
          <w:sz w:val="32"/>
          <w:szCs w:val="32"/>
        </w:rPr>
      </w:pPr>
      <w:r>
        <w:rPr>
          <w:rFonts w:ascii="仿宋_GB2312" w:eastAsia="仿宋_GB2312"/>
          <w:color w:val="000000"/>
          <w:sz w:val="32"/>
          <w:szCs w:val="32"/>
        </w:rPr>
        <w:t>3.及时公布接受复试通知的调剂考生名单及复试的</w:t>
      </w:r>
      <w:r>
        <w:rPr>
          <w:rFonts w:hint="eastAsia" w:ascii="仿宋_GB2312" w:eastAsia="仿宋_GB2312"/>
          <w:color w:val="000000"/>
          <w:sz w:val="32"/>
          <w:szCs w:val="32"/>
        </w:rPr>
        <w:t>具体时间和安排。</w:t>
      </w:r>
    </w:p>
    <w:p w14:paraId="6CABCC1D">
      <w:pPr>
        <w:pStyle w:val="6"/>
        <w:snapToGrid w:val="0"/>
        <w:spacing w:before="0" w:beforeAutospacing="0" w:after="0" w:afterAutospacing="0" w:line="580" w:lineRule="exact"/>
        <w:ind w:firstLine="640" w:firstLineChars="200"/>
        <w:rPr>
          <w:rFonts w:ascii="黑体" w:hAnsi="黑体" w:eastAsia="黑体"/>
          <w:sz w:val="32"/>
          <w:szCs w:val="32"/>
        </w:rPr>
      </w:pPr>
      <w:r>
        <w:rPr>
          <w:rFonts w:hint="eastAsia" w:ascii="黑体" w:hAnsi="黑体" w:eastAsia="黑体"/>
          <w:sz w:val="32"/>
          <w:szCs w:val="32"/>
        </w:rPr>
        <w:t>六、复试方式及内容</w:t>
      </w:r>
    </w:p>
    <w:p w14:paraId="203FADCD">
      <w:pPr>
        <w:pStyle w:val="6"/>
        <w:wordWrap w:val="0"/>
        <w:snapToGrid w:val="0"/>
        <w:spacing w:before="0" w:beforeAutospacing="0" w:after="0" w:afterAutospacing="0" w:line="580" w:lineRule="exact"/>
        <w:ind w:firstLine="640" w:firstLineChars="200"/>
        <w:jc w:val="both"/>
        <w:rPr>
          <w:rFonts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rPr>
        <w:t>（一）我院调剂考生复试方式为现场复试。</w:t>
      </w:r>
    </w:p>
    <w:p w14:paraId="22E957A6">
      <w:pPr>
        <w:pStyle w:val="6"/>
        <w:wordWrap w:val="0"/>
        <w:snapToGrid w:val="0"/>
        <w:spacing w:before="0" w:beforeAutospacing="0" w:after="0" w:afterAutospacing="0" w:line="580" w:lineRule="exact"/>
        <w:ind w:firstLine="640" w:firstLineChars="200"/>
        <w:jc w:val="both"/>
        <w:rPr>
          <w:rFonts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rPr>
        <w:t>（二）资格审</w:t>
      </w:r>
      <w:bookmarkStart w:id="0" w:name="OLE_LINK12"/>
      <w:bookmarkStart w:id="1" w:name="OLE_LINK13"/>
      <w:r>
        <w:rPr>
          <w:rFonts w:hint="eastAsia" w:ascii="楷体_GB2312" w:hAnsi="Times New Roman" w:eastAsia="楷体_GB2312" w:cs="Times New Roman"/>
          <w:kern w:val="2"/>
          <w:sz w:val="32"/>
          <w:szCs w:val="32"/>
        </w:rPr>
        <w:t>查</w:t>
      </w:r>
      <w:bookmarkEnd w:id="0"/>
      <w:bookmarkEnd w:id="1"/>
    </w:p>
    <w:p w14:paraId="6F844B7F">
      <w:pPr>
        <w:pStyle w:val="6"/>
        <w:wordWrap w:val="0"/>
        <w:spacing w:before="0" w:beforeAutospacing="0" w:after="0" w:afterAutospacing="0" w:line="580" w:lineRule="atLeast"/>
        <w:ind w:firstLine="634"/>
        <w:jc w:val="both"/>
        <w:rPr>
          <w:rFonts w:ascii="仿宋_GB2312" w:eastAsia="仿宋_GB2312"/>
          <w:color w:val="000000"/>
          <w:sz w:val="32"/>
          <w:szCs w:val="32"/>
        </w:rPr>
      </w:pPr>
      <w:r>
        <w:rPr>
          <w:rFonts w:hint="eastAsia" w:ascii="仿宋_GB2312" w:eastAsia="仿宋_GB2312"/>
          <w:color w:val="000000"/>
          <w:sz w:val="32"/>
          <w:szCs w:val="32"/>
        </w:rPr>
        <w:t>学院在复试前对考生进行资格审查，考生需提供以下材料：</w:t>
      </w:r>
    </w:p>
    <w:p w14:paraId="7F59C038">
      <w:pPr>
        <w:pStyle w:val="6"/>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1.</w:t>
      </w:r>
      <w:r>
        <w:rPr>
          <w:rFonts w:hint="eastAsia" w:ascii="仿宋_GB2312" w:eastAsia="仿宋_GB2312"/>
          <w:sz w:val="32"/>
        </w:rPr>
        <w:t>初试</w:t>
      </w:r>
      <w:r>
        <w:rPr>
          <w:rFonts w:hint="eastAsia" w:ascii="仿宋_GB2312" w:eastAsia="仿宋_GB2312" w:cs="Times New Roman"/>
          <w:color w:val="000000"/>
          <w:sz w:val="32"/>
          <w:szCs w:val="32"/>
        </w:rPr>
        <w:t>准考证（中国研招网可下载）；</w:t>
      </w:r>
    </w:p>
    <w:p w14:paraId="4487E9CF">
      <w:pPr>
        <w:pStyle w:val="6"/>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2.</w:t>
      </w:r>
      <w:r>
        <w:rPr>
          <w:rFonts w:hint="eastAsia" w:ascii="仿宋_GB2312" w:eastAsia="仿宋_GB2312"/>
          <w:sz w:val="32"/>
        </w:rPr>
        <w:t>身份证原件及复印件</w:t>
      </w:r>
      <w:r>
        <w:rPr>
          <w:rFonts w:hint="eastAsia" w:ascii="仿宋_GB2312" w:eastAsia="仿宋_GB2312" w:cs="Times New Roman"/>
          <w:color w:val="000000"/>
          <w:sz w:val="32"/>
          <w:szCs w:val="32"/>
        </w:rPr>
        <w:t>；</w:t>
      </w:r>
    </w:p>
    <w:p w14:paraId="4E016285">
      <w:pPr>
        <w:pStyle w:val="6"/>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3.</w:t>
      </w:r>
      <w:r>
        <w:rPr>
          <w:rFonts w:hint="eastAsia" w:ascii="仿宋_GB2312" w:eastAsia="仿宋_GB2312"/>
          <w:sz w:val="32"/>
        </w:rPr>
        <w:t>应届本科毕业生须提供《教育部学籍在线验证报告》</w:t>
      </w:r>
      <w:r>
        <w:rPr>
          <w:rFonts w:hint="eastAsia" w:ascii="仿宋_GB2312" w:eastAsia="仿宋_GB2312" w:cs="Times New Roman"/>
          <w:color w:val="000000"/>
          <w:sz w:val="32"/>
          <w:szCs w:val="32"/>
        </w:rPr>
        <w:t>；</w:t>
      </w:r>
    </w:p>
    <w:p w14:paraId="07E276B7">
      <w:pPr>
        <w:pStyle w:val="6"/>
        <w:snapToGrid w:val="0"/>
        <w:spacing w:before="0" w:beforeAutospacing="0" w:after="0" w:afterAutospacing="0" w:line="580" w:lineRule="exact"/>
        <w:ind w:firstLine="640" w:firstLineChars="200"/>
        <w:jc w:val="both"/>
        <w:rPr>
          <w:rFonts w:ascii="仿宋_GB2312" w:eastAsia="仿宋_GB2312"/>
          <w:sz w:val="32"/>
        </w:rPr>
      </w:pPr>
      <w:r>
        <w:rPr>
          <w:rFonts w:hint="eastAsia" w:ascii="仿宋_GB2312" w:eastAsia="仿宋_GB2312" w:cs="Times New Roman"/>
          <w:color w:val="000000"/>
          <w:sz w:val="32"/>
          <w:szCs w:val="32"/>
        </w:rPr>
        <w:t>4.</w:t>
      </w:r>
      <w:r>
        <w:rPr>
          <w:rFonts w:hint="eastAsia" w:ascii="仿宋_GB2312" w:eastAsia="仿宋_GB2312"/>
          <w:sz w:val="32"/>
        </w:rPr>
        <w:t>非应届本（专）科毕业生须提供《教育部学历证书电子注册备案表》；</w:t>
      </w:r>
    </w:p>
    <w:p w14:paraId="2EEF0108">
      <w:pPr>
        <w:pStyle w:val="6"/>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ascii="仿宋_GB2312" w:eastAsia="仿宋_GB2312"/>
          <w:sz w:val="32"/>
        </w:rPr>
        <w:t>5.</w:t>
      </w:r>
      <w:r>
        <w:rPr>
          <w:rFonts w:hint="eastAsia" w:ascii="仿宋_GB2312" w:eastAsia="仿宋_GB2312" w:cs="Times New Roman"/>
          <w:color w:val="000000"/>
          <w:sz w:val="32"/>
          <w:szCs w:val="32"/>
        </w:rPr>
        <w:t>在境外获得学历的，须提供教育部留学服务中心出具的《国（境）外学历学位认证书》；</w:t>
      </w:r>
    </w:p>
    <w:p w14:paraId="11DA934D">
      <w:pPr>
        <w:pStyle w:val="6"/>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6</w:t>
      </w:r>
      <w:r>
        <w:rPr>
          <w:rFonts w:ascii="仿宋_GB2312" w:eastAsia="仿宋_GB2312" w:cs="Times New Roman"/>
          <w:color w:val="000000"/>
          <w:sz w:val="32"/>
          <w:szCs w:val="32"/>
        </w:rPr>
        <w:t>.</w:t>
      </w:r>
      <w:r>
        <w:rPr>
          <w:rFonts w:hint="eastAsia" w:ascii="仿宋_GB2312" w:eastAsia="仿宋_GB2312"/>
          <w:sz w:val="32"/>
        </w:rPr>
        <w:t>《思想政治品德考核表》；</w:t>
      </w:r>
    </w:p>
    <w:p w14:paraId="6FC249BD">
      <w:pPr>
        <w:pStyle w:val="6"/>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7.本人签字的《南昌航空大学202</w:t>
      </w:r>
      <w:r>
        <w:rPr>
          <w:rFonts w:ascii="仿宋_GB2312" w:eastAsia="仿宋_GB2312" w:cs="Times New Roman"/>
          <w:color w:val="000000"/>
          <w:sz w:val="32"/>
          <w:szCs w:val="32"/>
        </w:rPr>
        <w:t>6</w:t>
      </w:r>
      <w:r>
        <w:rPr>
          <w:rFonts w:hint="eastAsia" w:ascii="仿宋_GB2312" w:eastAsia="仿宋_GB2312" w:cs="Times New Roman"/>
          <w:color w:val="000000"/>
          <w:sz w:val="32"/>
          <w:szCs w:val="32"/>
        </w:rPr>
        <w:t>年硕士研究生诚信复试承诺书》；</w:t>
      </w:r>
    </w:p>
    <w:p w14:paraId="7BAD499D">
      <w:pPr>
        <w:snapToGrid w:val="0"/>
        <w:spacing w:line="580" w:lineRule="exact"/>
        <w:ind w:firstLine="640" w:firstLineChars="200"/>
        <w:rPr>
          <w:rFonts w:ascii="仿宋_GB2312" w:hAnsi="宋体" w:eastAsia="仿宋_GB2312" w:cs="宋体"/>
          <w:kern w:val="0"/>
          <w:sz w:val="32"/>
        </w:rPr>
      </w:pPr>
      <w:r>
        <w:rPr>
          <w:rFonts w:ascii="仿宋_GB2312" w:eastAsia="仿宋_GB2312"/>
          <w:color w:val="000000"/>
          <w:sz w:val="32"/>
          <w:szCs w:val="32"/>
        </w:rPr>
        <w:t>8</w:t>
      </w:r>
      <w:r>
        <w:rPr>
          <w:rFonts w:hint="eastAsia" w:ascii="仿宋_GB2312" w:eastAsia="仿宋_GB2312"/>
          <w:color w:val="000000"/>
          <w:sz w:val="32"/>
          <w:szCs w:val="32"/>
        </w:rPr>
        <w:t>.</w:t>
      </w:r>
      <w:bookmarkStart w:id="2" w:name="OLE_LINK28"/>
      <w:bookmarkStart w:id="3" w:name="OLE_LINK27"/>
      <w:r>
        <w:rPr>
          <w:rFonts w:hint="eastAsia" w:ascii="仿宋_GB2312" w:hAnsi="宋体" w:eastAsia="仿宋_GB2312" w:cs="宋体"/>
          <w:kern w:val="0"/>
          <w:sz w:val="32"/>
        </w:rPr>
        <w:t>符合教育部《2026年全国硕士研究生招生工作管理规定》（</w:t>
      </w:r>
      <w:r>
        <w:rPr>
          <w:rFonts w:ascii="仿宋_GB2312" w:hAnsi="宋体" w:eastAsia="仿宋_GB2312" w:cs="宋体"/>
          <w:kern w:val="0"/>
          <w:sz w:val="32"/>
        </w:rPr>
        <w:t>教</w:t>
      </w:r>
      <w:r>
        <w:rPr>
          <w:rFonts w:ascii="仿宋_GB2312" w:hAnsi="宋体" w:eastAsia="仿宋_GB2312" w:cs="宋体"/>
          <w:color w:val="000000" w:themeColor="text1"/>
          <w:kern w:val="0"/>
          <w:sz w:val="32"/>
          <w14:textFill>
            <w14:solidFill>
              <w14:schemeClr w14:val="tx1"/>
            </w14:solidFill>
          </w14:textFill>
        </w:rPr>
        <w:t>学〔202</w:t>
      </w:r>
      <w:r>
        <w:rPr>
          <w:rFonts w:hint="eastAsia" w:ascii="仿宋_GB2312" w:hAnsi="宋体" w:eastAsia="仿宋_GB2312" w:cs="宋体"/>
          <w:color w:val="000000" w:themeColor="text1"/>
          <w:kern w:val="0"/>
          <w:sz w:val="32"/>
          <w14:textFill>
            <w14:solidFill>
              <w14:schemeClr w14:val="tx1"/>
            </w14:solidFill>
          </w14:textFill>
        </w:rPr>
        <w:t>5</w:t>
      </w:r>
      <w:r>
        <w:rPr>
          <w:rFonts w:ascii="仿宋_GB2312" w:hAnsi="宋体" w:eastAsia="仿宋_GB2312" w:cs="宋体"/>
          <w:color w:val="000000" w:themeColor="text1"/>
          <w:kern w:val="0"/>
          <w:sz w:val="32"/>
          <w14:textFill>
            <w14:solidFill>
              <w14:schemeClr w14:val="tx1"/>
            </w14:solidFill>
          </w14:textFill>
        </w:rPr>
        <w:t>〕</w:t>
      </w:r>
      <w:r>
        <w:rPr>
          <w:rFonts w:hint="eastAsia" w:ascii="仿宋_GB2312" w:hAnsi="宋体" w:eastAsia="仿宋_GB2312" w:cs="宋体"/>
          <w:color w:val="000000" w:themeColor="text1"/>
          <w:kern w:val="0"/>
          <w:sz w:val="32"/>
          <w14:textFill>
            <w14:solidFill>
              <w14:schemeClr w14:val="tx1"/>
            </w14:solidFill>
          </w14:textFill>
        </w:rPr>
        <w:t>2</w:t>
      </w:r>
      <w:r>
        <w:rPr>
          <w:rFonts w:ascii="仿宋_GB2312" w:hAnsi="宋体" w:eastAsia="仿宋_GB2312" w:cs="宋体"/>
          <w:color w:val="000000" w:themeColor="text1"/>
          <w:kern w:val="0"/>
          <w:sz w:val="32"/>
          <w14:textFill>
            <w14:solidFill>
              <w14:schemeClr w14:val="tx1"/>
            </w14:solidFill>
          </w14:textFill>
        </w:rPr>
        <w:t>号</w:t>
      </w:r>
      <w:r>
        <w:rPr>
          <w:rFonts w:hint="eastAsia" w:ascii="仿宋_GB2312" w:hAnsi="宋体" w:eastAsia="仿宋_GB2312" w:cs="宋体"/>
          <w:color w:val="000000" w:themeColor="text1"/>
          <w:kern w:val="0"/>
          <w:sz w:val="32"/>
          <w14:textFill>
            <w14:solidFill>
              <w14:schemeClr w14:val="tx1"/>
            </w14:solidFill>
          </w14:textFill>
        </w:rPr>
        <w:t>）</w:t>
      </w:r>
      <w:r>
        <w:rPr>
          <w:rFonts w:ascii="仿宋_GB2312" w:hAnsi="宋体" w:eastAsia="仿宋_GB2312" w:cs="宋体"/>
          <w:color w:val="000000" w:themeColor="text1"/>
          <w:kern w:val="0"/>
          <w:sz w:val="32"/>
          <w14:textFill>
            <w14:solidFill>
              <w14:schemeClr w14:val="tx1"/>
            </w14:solidFill>
          </w14:textFill>
        </w:rPr>
        <w:t>第</w:t>
      </w:r>
      <w:r>
        <w:rPr>
          <w:rFonts w:hint="eastAsia" w:ascii="仿宋_GB2312" w:hAnsi="宋体" w:eastAsia="仿宋_GB2312" w:cs="宋体"/>
          <w:kern w:val="0"/>
          <w:sz w:val="32"/>
        </w:rPr>
        <w:t>二十二</w:t>
      </w:r>
      <w:bookmarkStart w:id="4" w:name="OLE_LINK29"/>
      <w:bookmarkStart w:id="5" w:name="OLE_LINK30"/>
      <w:r>
        <w:rPr>
          <w:rFonts w:hint="eastAsia" w:ascii="仿宋_GB2312" w:hAnsi="宋体" w:eastAsia="仿宋_GB2312" w:cs="宋体"/>
          <w:kern w:val="0"/>
          <w:sz w:val="32"/>
        </w:rPr>
        <w:t>条规定的加分资格的考生须提供相应证明材料供学校核实</w:t>
      </w:r>
      <w:bookmarkEnd w:id="2"/>
      <w:bookmarkEnd w:id="3"/>
      <w:bookmarkEnd w:id="4"/>
      <w:bookmarkEnd w:id="5"/>
      <w:r>
        <w:rPr>
          <w:rFonts w:hint="eastAsia" w:ascii="仿宋_GB2312" w:hAnsi="宋体" w:eastAsia="仿宋_GB2312" w:cs="宋体"/>
          <w:kern w:val="0"/>
          <w:sz w:val="32"/>
        </w:rPr>
        <w:t>。</w:t>
      </w:r>
    </w:p>
    <w:p w14:paraId="0FA721A0">
      <w:pPr>
        <w:pStyle w:val="6"/>
        <w:wordWrap w:val="0"/>
        <w:spacing w:before="0" w:beforeAutospacing="0" w:after="0" w:afterAutospacing="0" w:line="580" w:lineRule="atLeast"/>
        <w:ind w:firstLine="634"/>
        <w:jc w:val="both"/>
        <w:rPr>
          <w:rFonts w:ascii="仿宋_GB2312" w:eastAsia="仿宋_GB2312"/>
          <w:color w:val="000000"/>
          <w:sz w:val="32"/>
          <w:szCs w:val="32"/>
        </w:rPr>
      </w:pPr>
      <w:r>
        <w:rPr>
          <w:rFonts w:hint="eastAsia" w:ascii="仿宋_GB2312" w:eastAsia="仿宋_GB2312"/>
          <w:color w:val="000000"/>
          <w:sz w:val="32"/>
          <w:szCs w:val="32"/>
        </w:rPr>
        <w:t>资格审查不符合要求者，取消复试资格。对有弄虚作假者一经发现随时取消复试或录取资格。</w:t>
      </w:r>
    </w:p>
    <w:p w14:paraId="0E7B8FD5">
      <w:pPr>
        <w:pStyle w:val="6"/>
        <w:wordWrap w:val="0"/>
        <w:snapToGrid w:val="0"/>
        <w:spacing w:before="0" w:beforeAutospacing="0" w:after="0" w:afterAutospacing="0" w:line="580" w:lineRule="exact"/>
        <w:ind w:firstLine="640" w:firstLineChars="200"/>
        <w:jc w:val="both"/>
        <w:rPr>
          <w:rFonts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rPr>
        <w:t>（三）复试内容</w:t>
      </w:r>
    </w:p>
    <w:p w14:paraId="342364B9">
      <w:pPr>
        <w:pStyle w:val="6"/>
        <w:numPr>
          <w:ilvl w:val="255"/>
          <w:numId w:val="0"/>
        </w:numPr>
        <w:snapToGrid w:val="0"/>
        <w:spacing w:before="0" w:beforeAutospacing="0" w:after="0" w:afterAutospacing="0" w:line="580" w:lineRule="exact"/>
        <w:ind w:left="640"/>
        <w:rPr>
          <w:rFonts w:ascii="仿宋_GB2312" w:eastAsia="仿宋_GB2312"/>
          <w:sz w:val="32"/>
          <w:szCs w:val="32"/>
        </w:rPr>
      </w:pPr>
      <w:r>
        <w:rPr>
          <w:rFonts w:hint="eastAsia" w:ascii="仿宋_GB2312" w:eastAsia="仿宋_GB2312" w:cs="Times New Roman"/>
          <w:b/>
          <w:sz w:val="32"/>
          <w:szCs w:val="32"/>
        </w:rPr>
        <w:t>1.</w:t>
      </w:r>
      <w:r>
        <w:rPr>
          <w:rFonts w:hint="eastAsia" w:ascii="仿宋_GB2312" w:hAnsi="Times New Roman" w:eastAsia="仿宋_GB2312" w:cs="Times New Roman"/>
          <w:bCs/>
          <w:color w:val="000000"/>
          <w:kern w:val="2"/>
          <w:sz w:val="32"/>
          <w:szCs w:val="32"/>
        </w:rPr>
        <w:t>综合面试（总分</w:t>
      </w:r>
      <w:r>
        <w:rPr>
          <w:rFonts w:ascii="仿宋_GB2312" w:hAnsi="Times New Roman" w:eastAsia="仿宋_GB2312" w:cs="Times New Roman"/>
          <w:bCs/>
          <w:color w:val="000000"/>
          <w:kern w:val="2"/>
          <w:sz w:val="32"/>
          <w:szCs w:val="32"/>
        </w:rPr>
        <w:t>100分）</w:t>
      </w:r>
    </w:p>
    <w:p w14:paraId="0DD9B9AD">
      <w:pPr>
        <w:pStyle w:val="6"/>
        <w:snapToGrid w:val="0"/>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cs="Times New Roman"/>
          <w:sz w:val="32"/>
          <w:szCs w:val="32"/>
        </w:rPr>
        <w:t>综合面试由学院面试小组组织，每位考生面试时间不低于</w:t>
      </w:r>
      <w:r>
        <w:rPr>
          <w:rFonts w:ascii="仿宋_GB2312" w:eastAsia="仿宋_GB2312" w:cs="Times New Roman"/>
          <w:sz w:val="32"/>
          <w:szCs w:val="32"/>
        </w:rPr>
        <w:t>20分钟。</w:t>
      </w:r>
    </w:p>
    <w:p w14:paraId="2B13A4FF">
      <w:pPr>
        <w:pStyle w:val="6"/>
        <w:snapToGrid w:val="0"/>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cs="Times New Roman"/>
          <w:sz w:val="32"/>
          <w:szCs w:val="32"/>
        </w:rPr>
        <w:t>考核内容主要包括：</w:t>
      </w:r>
    </w:p>
    <w:p w14:paraId="452B0296">
      <w:pPr>
        <w:pStyle w:val="6"/>
        <w:snapToGrid w:val="0"/>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bCs/>
          <w:color w:val="000000"/>
          <w:sz w:val="32"/>
          <w:szCs w:val="32"/>
        </w:rPr>
        <w:t>（1）</w:t>
      </w:r>
      <w:r>
        <w:rPr>
          <w:rFonts w:ascii="仿宋_GB2312" w:eastAsia="仿宋_GB2312" w:cs="Times New Roman"/>
          <w:sz w:val="32"/>
          <w:szCs w:val="32"/>
        </w:rPr>
        <w:t>综合素质和能力（占比30%）：（1）思想政治素质和道德品质等；（2）事业心、责任感、纪律性（遵纪守法）、协作精神和心理健康情况；（3）人文素养、心理素质；（4）举止、表达和礼仪等。</w:t>
      </w:r>
    </w:p>
    <w:p w14:paraId="0346A658">
      <w:pPr>
        <w:pStyle w:val="6"/>
        <w:snapToGrid w:val="0"/>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bCs/>
          <w:color w:val="000000"/>
          <w:sz w:val="32"/>
          <w:szCs w:val="32"/>
        </w:rPr>
        <w:t>（2）</w:t>
      </w:r>
      <w:r>
        <w:rPr>
          <w:rFonts w:ascii="仿宋_GB2312" w:eastAsia="仿宋_GB2312" w:cs="Times New Roman"/>
          <w:sz w:val="32"/>
          <w:szCs w:val="32"/>
        </w:rPr>
        <w:t>专业素质和能力（占比70%）：（1）大学阶段学习情况及成绩；（2）对本学科</w:t>
      </w:r>
      <w:r>
        <w:rPr>
          <w:rFonts w:hint="eastAsia" w:ascii="仿宋_GB2312" w:eastAsia="仿宋_GB2312" w:cs="Times New Roman"/>
          <w:sz w:val="32"/>
          <w:szCs w:val="32"/>
        </w:rPr>
        <w:t>专业</w:t>
      </w:r>
      <w:r>
        <w:rPr>
          <w:rFonts w:ascii="仿宋_GB2312" w:eastAsia="仿宋_GB2312" w:cs="Times New Roman"/>
          <w:sz w:val="32"/>
          <w:szCs w:val="32"/>
        </w:rPr>
        <w:t>理论知识和应用技能掌握程度，运用所学理论发现、分析和解决问题的能力；</w:t>
      </w:r>
      <w:r>
        <w:rPr>
          <w:rFonts w:hint="eastAsia" w:ascii="仿宋_GB2312" w:eastAsia="仿宋_GB2312" w:cs="Times New Roman"/>
          <w:sz w:val="32"/>
          <w:szCs w:val="32"/>
        </w:rPr>
        <w:t>对本学科发展动态的了解以及在本专业领域发展的潜力；</w:t>
      </w:r>
      <w:r>
        <w:rPr>
          <w:rFonts w:ascii="仿宋_GB2312" w:eastAsia="仿宋_GB2312" w:cs="Times New Roman"/>
          <w:sz w:val="32"/>
          <w:szCs w:val="32"/>
        </w:rPr>
        <w:t>（3）创新精神和创新能力；（4）考生报考专业目录中复试科目的专业知识</w:t>
      </w:r>
      <w:r>
        <w:rPr>
          <w:rFonts w:hint="eastAsia" w:ascii="仿宋_GB2312" w:eastAsia="仿宋_GB2312" w:cs="Times New Roman"/>
          <w:sz w:val="32"/>
          <w:szCs w:val="32"/>
        </w:rPr>
        <w:t>和技能</w:t>
      </w:r>
      <w:r>
        <w:rPr>
          <w:rFonts w:ascii="仿宋_GB2312" w:eastAsia="仿宋_GB2312" w:cs="Times New Roman"/>
          <w:sz w:val="32"/>
          <w:szCs w:val="32"/>
        </w:rPr>
        <w:t>。</w:t>
      </w:r>
    </w:p>
    <w:p w14:paraId="0CBC282D">
      <w:pPr>
        <w:pStyle w:val="6"/>
        <w:snapToGrid w:val="0"/>
        <w:spacing w:before="0" w:beforeAutospacing="0" w:after="0" w:afterAutospacing="0" w:line="580" w:lineRule="exact"/>
        <w:ind w:firstLine="640" w:firstLineChars="200"/>
        <w:jc w:val="both"/>
        <w:rPr>
          <w:rFonts w:ascii="仿宋_GB2312" w:eastAsia="仿宋_GB2312"/>
          <w:sz w:val="32"/>
          <w:szCs w:val="32"/>
        </w:rPr>
      </w:pPr>
      <w:r>
        <w:rPr>
          <w:rFonts w:ascii="仿宋_GB2312" w:hAnsi="Times New Roman" w:eastAsia="仿宋_GB2312"/>
          <w:bCs/>
          <w:color w:val="000000"/>
          <w:kern w:val="2"/>
          <w:sz w:val="32"/>
          <w:szCs w:val="32"/>
        </w:rPr>
        <w:t>2.</w:t>
      </w:r>
      <w:r>
        <w:rPr>
          <w:rFonts w:hint="eastAsia" w:ascii="仿宋_GB2312" w:hAnsi="Times New Roman" w:eastAsia="仿宋_GB2312"/>
          <w:bCs/>
          <w:color w:val="000000"/>
          <w:kern w:val="2"/>
          <w:sz w:val="32"/>
          <w:szCs w:val="32"/>
        </w:rPr>
        <w:t>专业笔试</w:t>
      </w:r>
      <w:r>
        <w:rPr>
          <w:rFonts w:hint="eastAsia" w:ascii="仿宋_GB2312" w:hAnsi="Times New Roman" w:eastAsia="仿宋_GB2312" w:cs="Times New Roman"/>
          <w:bCs/>
          <w:color w:val="000000"/>
          <w:kern w:val="2"/>
          <w:sz w:val="32"/>
          <w:szCs w:val="32"/>
        </w:rPr>
        <w:t>。</w:t>
      </w:r>
      <w:r>
        <w:rPr>
          <w:rFonts w:hint="eastAsia" w:ascii="仿宋_GB2312" w:eastAsia="仿宋_GB2312" w:cs="Times New Roman"/>
          <w:sz w:val="32"/>
          <w:szCs w:val="32"/>
        </w:rPr>
        <w:t>考试科目：</w:t>
      </w:r>
      <w:r>
        <w:rPr>
          <w:rFonts w:hint="eastAsia" w:ascii="仿宋_GB2312" w:eastAsia="仿宋_GB2312"/>
          <w:bCs/>
          <w:color w:val="000000"/>
          <w:sz w:val="32"/>
          <w:szCs w:val="32"/>
        </w:rPr>
        <w:t>见《</w:t>
      </w:r>
      <w:r>
        <w:rPr>
          <w:rStyle w:val="15"/>
          <w:rFonts w:hint="eastAsia" w:ascii="仿宋_GB2312" w:hAnsi="仿宋" w:eastAsia="仿宋_GB2312"/>
          <w:color w:val="0000FF"/>
          <w:sz w:val="32"/>
          <w:szCs w:val="32"/>
          <w:u w:val="single"/>
        </w:rPr>
        <w:t>南昌航空大学2026年硕士研究生招生专业目录</w:t>
      </w:r>
      <w:r>
        <w:rPr>
          <w:rFonts w:hint="eastAsia" w:ascii="仿宋_GB2312" w:eastAsia="仿宋_GB2312"/>
          <w:bCs/>
          <w:color w:val="000000"/>
          <w:sz w:val="32"/>
          <w:szCs w:val="32"/>
        </w:rPr>
        <w:t>》</w:t>
      </w:r>
      <w:r>
        <w:rPr>
          <w:rFonts w:hint="eastAsia" w:ascii="仿宋_GB2312" w:eastAsia="仿宋_GB2312" w:cs="Times New Roman"/>
          <w:sz w:val="32"/>
          <w:szCs w:val="32"/>
        </w:rPr>
        <w:t>。科目满分</w:t>
      </w:r>
      <w:r>
        <w:rPr>
          <w:rFonts w:ascii="仿宋_GB2312" w:eastAsia="仿宋_GB2312" w:cs="Times New Roman"/>
          <w:sz w:val="32"/>
          <w:szCs w:val="32"/>
        </w:rPr>
        <w:t>100分</w:t>
      </w:r>
      <w:r>
        <w:rPr>
          <w:rFonts w:hint="eastAsia" w:ascii="仿宋_GB2312" w:eastAsia="仿宋_GB2312" w:cs="Times New Roman"/>
          <w:sz w:val="32"/>
          <w:szCs w:val="32"/>
        </w:rPr>
        <w:t>，</w:t>
      </w:r>
      <w:r>
        <w:rPr>
          <w:rFonts w:ascii="仿宋_GB2312" w:eastAsia="仿宋_GB2312" w:cs="Times New Roman"/>
          <w:sz w:val="32"/>
          <w:szCs w:val="32"/>
        </w:rPr>
        <w:t>考试时长</w:t>
      </w:r>
      <w:r>
        <w:rPr>
          <w:rFonts w:hint="eastAsia" w:ascii="仿宋_GB2312" w:eastAsia="仿宋_GB2312" w:cs="Times New Roman"/>
          <w:sz w:val="32"/>
          <w:szCs w:val="32"/>
        </w:rPr>
        <w:t>：</w:t>
      </w:r>
      <w:r>
        <w:rPr>
          <w:rFonts w:ascii="仿宋_GB2312" w:eastAsia="仿宋_GB2312" w:cs="Times New Roman"/>
          <w:sz w:val="32"/>
          <w:szCs w:val="32"/>
        </w:rPr>
        <w:t>12</w:t>
      </w:r>
      <w:r>
        <w:rPr>
          <w:rFonts w:hint="eastAsia" w:ascii="仿宋_GB2312" w:eastAsia="仿宋_GB2312" w:cs="Times New Roman"/>
          <w:sz w:val="32"/>
          <w:szCs w:val="32"/>
        </w:rPr>
        <w:t>0分，</w:t>
      </w:r>
      <w:r>
        <w:rPr>
          <w:rFonts w:ascii="仿宋_GB2312" w:eastAsia="仿宋_GB2312" w:cs="Times New Roman"/>
          <w:sz w:val="32"/>
          <w:szCs w:val="32"/>
        </w:rPr>
        <w:t>考试形式：闭卷</w:t>
      </w:r>
      <w:r>
        <w:rPr>
          <w:rFonts w:hint="eastAsia" w:ascii="仿宋_GB2312" w:eastAsia="仿宋_GB2312" w:cs="Times New Roman"/>
          <w:sz w:val="32"/>
          <w:szCs w:val="32"/>
        </w:rPr>
        <w:t>。</w:t>
      </w:r>
    </w:p>
    <w:p w14:paraId="1204D437">
      <w:pPr>
        <w:pStyle w:val="6"/>
        <w:snapToGrid w:val="0"/>
        <w:spacing w:before="0" w:beforeAutospacing="0" w:after="0" w:afterAutospacing="0" w:line="580" w:lineRule="exact"/>
        <w:ind w:firstLine="640" w:firstLineChars="200"/>
        <w:jc w:val="both"/>
        <w:rPr>
          <w:rFonts w:ascii="仿宋_GB2312" w:hAnsi="仿宋" w:eastAsia="仿宋_GB2312" w:cs="仿宋"/>
          <w:sz w:val="32"/>
          <w:szCs w:val="32"/>
        </w:rPr>
      </w:pPr>
      <w:r>
        <w:rPr>
          <w:rFonts w:hint="eastAsia" w:ascii="仿宋_GB2312" w:eastAsia="仿宋_GB2312" w:cs="Times New Roman"/>
          <w:sz w:val="32"/>
          <w:szCs w:val="32"/>
        </w:rPr>
        <w:t>3</w:t>
      </w:r>
      <w:r>
        <w:rPr>
          <w:rFonts w:ascii="仿宋_GB2312" w:eastAsia="仿宋_GB2312" w:cs="Times New Roman"/>
          <w:sz w:val="32"/>
          <w:szCs w:val="32"/>
        </w:rPr>
        <w:t>.</w:t>
      </w:r>
      <w:r>
        <w:rPr>
          <w:rFonts w:hint="eastAsia" w:ascii="仿宋_GB2312" w:eastAsia="仿宋_GB2312" w:cs="Times New Roman"/>
          <w:sz w:val="32"/>
          <w:szCs w:val="32"/>
        </w:rPr>
        <w:t>加试。加试笔试科目：</w:t>
      </w:r>
      <w:r>
        <w:rPr>
          <w:rFonts w:hint="eastAsia" w:ascii="仿宋_GB2312" w:eastAsia="仿宋_GB2312" w:cs="Times New Roman"/>
          <w:b/>
          <w:sz w:val="32"/>
          <w:szCs w:val="32"/>
        </w:rPr>
        <w:t>高级英语；英语听力</w:t>
      </w:r>
      <w:r>
        <w:rPr>
          <w:rFonts w:hint="eastAsia" w:ascii="仿宋_GB2312" w:eastAsia="仿宋_GB2312" w:cs="Times New Roman"/>
          <w:sz w:val="32"/>
          <w:szCs w:val="32"/>
        </w:rPr>
        <w:t>。每门加试科目</w:t>
      </w:r>
      <w:r>
        <w:rPr>
          <w:rFonts w:hint="eastAsia" w:ascii="仿宋_GB2312" w:hAnsi="仿宋" w:eastAsia="仿宋_GB2312" w:cs="仿宋"/>
          <w:sz w:val="32"/>
          <w:szCs w:val="32"/>
        </w:rPr>
        <w:t>的满分为</w:t>
      </w:r>
      <w:r>
        <w:rPr>
          <w:rFonts w:ascii="仿宋_GB2312" w:hAnsi="仿宋" w:eastAsia="仿宋_GB2312" w:cs="仿宋"/>
          <w:sz w:val="32"/>
          <w:szCs w:val="32"/>
        </w:rPr>
        <w:t>100</w:t>
      </w:r>
      <w:r>
        <w:rPr>
          <w:rFonts w:hint="eastAsia" w:ascii="仿宋_GB2312" w:hAnsi="仿宋" w:eastAsia="仿宋_GB2312" w:cs="仿宋"/>
          <w:sz w:val="32"/>
          <w:szCs w:val="32"/>
        </w:rPr>
        <w:t>分、</w:t>
      </w:r>
      <w:r>
        <w:rPr>
          <w:rFonts w:hint="eastAsia" w:ascii="仿宋_GB2312" w:eastAsia="仿宋_GB2312"/>
          <w:color w:val="FF0000"/>
          <w:sz w:val="32"/>
          <w:szCs w:val="32"/>
        </w:rPr>
        <w:t>时长为</w:t>
      </w:r>
      <w:r>
        <w:rPr>
          <w:rFonts w:ascii="仿宋_GB2312" w:eastAsia="仿宋_GB2312"/>
          <w:color w:val="FF0000"/>
          <w:sz w:val="32"/>
          <w:szCs w:val="32"/>
        </w:rPr>
        <w:t>120</w:t>
      </w:r>
      <w:r>
        <w:rPr>
          <w:rFonts w:hint="eastAsia" w:ascii="仿宋_GB2312" w:eastAsia="仿宋_GB2312"/>
          <w:color w:val="FF0000"/>
          <w:sz w:val="32"/>
          <w:szCs w:val="32"/>
        </w:rPr>
        <w:t>分钟</w:t>
      </w:r>
      <w:r>
        <w:rPr>
          <w:rFonts w:hint="eastAsia" w:ascii="仿宋_GB2312" w:eastAsia="仿宋_GB2312"/>
          <w:sz w:val="32"/>
          <w:szCs w:val="32"/>
        </w:rPr>
        <w:t>，</w:t>
      </w:r>
      <w:r>
        <w:rPr>
          <w:rFonts w:ascii="仿宋_GB2312" w:eastAsia="仿宋_GB2312"/>
          <w:sz w:val="32"/>
          <w:szCs w:val="32"/>
        </w:rPr>
        <w:t>形式为闭卷</w:t>
      </w:r>
      <w:r>
        <w:rPr>
          <w:rFonts w:ascii="仿宋_GB2312" w:eastAsia="仿宋_GB2312" w:cs="Times New Roman"/>
          <w:sz w:val="32"/>
          <w:szCs w:val="32"/>
        </w:rPr>
        <w:t>。</w:t>
      </w:r>
      <w:r>
        <w:rPr>
          <w:rFonts w:hint="eastAsia" w:ascii="仿宋_GB2312" w:eastAsia="仿宋_GB2312" w:cs="Times New Roman"/>
          <w:sz w:val="32"/>
          <w:szCs w:val="32"/>
        </w:rPr>
        <w:t>加试具体要求，由学院另行通知。</w:t>
      </w:r>
    </w:p>
    <w:p w14:paraId="64A25898">
      <w:pPr>
        <w:snapToGrid w:val="0"/>
        <w:spacing w:line="580" w:lineRule="exact"/>
        <w:ind w:firstLine="640" w:firstLineChars="200"/>
        <w:rPr>
          <w:rFonts w:ascii="黑体" w:hAnsi="黑体" w:eastAsia="黑体" w:cs="仿宋"/>
          <w:sz w:val="32"/>
          <w:szCs w:val="32"/>
        </w:rPr>
      </w:pPr>
      <w:r>
        <w:rPr>
          <w:rFonts w:hint="eastAsia" w:ascii="黑体" w:hAnsi="黑体" w:eastAsia="黑体" w:cs="仿宋"/>
          <w:sz w:val="32"/>
          <w:szCs w:val="32"/>
        </w:rPr>
        <w:t>七、复试成绩的确定与使用</w:t>
      </w:r>
    </w:p>
    <w:p w14:paraId="64F73108">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（一）考生综合面试各部分成绩由每位复试工作小组成员分别独立给出分数，然</w:t>
      </w:r>
      <w:r>
        <w:rPr>
          <w:rFonts w:hint="eastAsia" w:ascii="仿宋_GB2312" w:hAnsi="宋体" w:eastAsia="仿宋_GB2312" w:cs="宋体"/>
          <w:kern w:val="0"/>
          <w:sz w:val="32"/>
        </w:rPr>
        <w:t>后取算术平均值得出。对于同一专业存在多个面试小组的情况，</w:t>
      </w:r>
      <w:r>
        <w:rPr>
          <w:rFonts w:ascii="仿宋_GB2312" w:hAnsi="宋体" w:eastAsia="仿宋_GB2312" w:cs="宋体"/>
          <w:kern w:val="0"/>
          <w:sz w:val="32"/>
        </w:rPr>
        <w:t>为平衡不同面试小组评分差异，</w:t>
      </w:r>
      <w:r>
        <w:rPr>
          <w:rFonts w:hint="eastAsia" w:ascii="仿宋_GB2312" w:hAnsi="宋体" w:eastAsia="仿宋_GB2312" w:cs="宋体"/>
          <w:kern w:val="0"/>
          <w:sz w:val="32"/>
        </w:rPr>
        <w:t>对综合面试成绩加以修正（修正系数</w:t>
      </w:r>
      <w:r>
        <w:rPr>
          <w:rFonts w:ascii="仿宋_GB2312" w:hAnsi="宋体" w:eastAsia="仿宋_GB2312" w:cs="宋体"/>
          <w:kern w:val="0"/>
          <w:sz w:val="32"/>
        </w:rPr>
        <w:t>=该专业全部考生面试平均成绩÷考生所在面试小组考生面试平均成绩）</w:t>
      </w:r>
      <w:r>
        <w:rPr>
          <w:rFonts w:hint="eastAsia" w:ascii="仿宋_GB2312" w:hAnsi="宋体" w:eastAsia="仿宋_GB2312" w:cs="宋体"/>
          <w:kern w:val="0"/>
          <w:sz w:val="32"/>
        </w:rPr>
        <w:t>，</w:t>
      </w:r>
      <w:r>
        <w:rPr>
          <w:rFonts w:ascii="仿宋_GB2312" w:hAnsi="宋体" w:eastAsia="仿宋_GB2312" w:cs="宋体"/>
          <w:kern w:val="0"/>
          <w:sz w:val="32"/>
        </w:rPr>
        <w:t>修正后</w:t>
      </w:r>
      <w:r>
        <w:rPr>
          <w:rFonts w:hint="eastAsia" w:ascii="仿宋_GB2312" w:hAnsi="宋体" w:eastAsia="仿宋_GB2312" w:cs="宋体"/>
          <w:kern w:val="0"/>
          <w:sz w:val="32"/>
        </w:rPr>
        <w:t>的</w:t>
      </w:r>
      <w:r>
        <w:rPr>
          <w:rFonts w:ascii="仿宋_GB2312" w:hAnsi="宋体" w:eastAsia="仿宋_GB2312" w:cs="宋体"/>
          <w:kern w:val="0"/>
          <w:sz w:val="32"/>
        </w:rPr>
        <w:t>综合面试成绩=综合面试成绩×修正系数</w:t>
      </w:r>
      <w:r>
        <w:rPr>
          <w:rFonts w:hint="eastAsia" w:ascii="仿宋_GB2312" w:hAnsi="宋体" w:eastAsia="仿宋_GB2312" w:cs="宋体"/>
          <w:kern w:val="0"/>
          <w:sz w:val="32"/>
        </w:rPr>
        <w:t>。</w:t>
      </w:r>
    </w:p>
    <w:p w14:paraId="5C24DBC9">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（二）同一专业存在多个面试小组的，考生</w:t>
      </w:r>
      <w:r>
        <w:rPr>
          <w:rFonts w:hint="eastAsia" w:ascii="仿宋_GB2312" w:hAnsi="宋体" w:eastAsia="仿宋_GB2312" w:cs="宋体"/>
          <w:color w:val="000000" w:themeColor="text1"/>
          <w:kern w:val="0"/>
          <w:sz w:val="32"/>
          <w14:textFill>
            <w14:solidFill>
              <w14:schemeClr w14:val="tx1"/>
            </w14:solidFill>
          </w14:textFill>
        </w:rPr>
        <w:t>修正后</w:t>
      </w:r>
      <w:r>
        <w:rPr>
          <w:rFonts w:hint="eastAsia" w:ascii="仿宋_GB2312" w:hAnsi="仿宋" w:eastAsia="仿宋_GB2312" w:cs="仿宋"/>
          <w:sz w:val="32"/>
          <w:szCs w:val="32"/>
        </w:rPr>
        <w:t>综合面试成绩低于6</w:t>
      </w:r>
      <w:r>
        <w:rPr>
          <w:rFonts w:ascii="仿宋_GB2312" w:hAnsi="仿宋" w:eastAsia="仿宋_GB2312" w:cs="仿宋"/>
          <w:sz w:val="32"/>
          <w:szCs w:val="32"/>
        </w:rPr>
        <w:t>0</w:t>
      </w:r>
      <w:r>
        <w:rPr>
          <w:rFonts w:hint="eastAsia" w:ascii="仿宋_GB2312" w:hAnsi="仿宋" w:eastAsia="仿宋_GB2312" w:cs="仿宋"/>
          <w:sz w:val="32"/>
          <w:szCs w:val="32"/>
        </w:rPr>
        <w:t>分或同一专业只有一个面试小组的，考生</w:t>
      </w:r>
      <w:r>
        <w:rPr>
          <w:rFonts w:hint="eastAsia" w:ascii="仿宋_GB2312" w:hAnsi="宋体" w:eastAsia="仿宋_GB2312" w:cs="宋体"/>
          <w:color w:val="000000" w:themeColor="text1"/>
          <w:kern w:val="0"/>
          <w:sz w:val="32"/>
          <w14:textFill>
            <w14:solidFill>
              <w14:schemeClr w14:val="tx1"/>
            </w14:solidFill>
          </w14:textFill>
        </w:rPr>
        <w:t>综合面试成绩低于6</w:t>
      </w:r>
      <w:r>
        <w:rPr>
          <w:rFonts w:ascii="仿宋_GB2312" w:hAnsi="宋体" w:eastAsia="仿宋_GB2312" w:cs="宋体"/>
          <w:color w:val="000000" w:themeColor="text1"/>
          <w:kern w:val="0"/>
          <w:sz w:val="32"/>
          <w14:textFill>
            <w14:solidFill>
              <w14:schemeClr w14:val="tx1"/>
            </w14:solidFill>
          </w14:textFill>
        </w:rPr>
        <w:t>0</w:t>
      </w:r>
      <w:r>
        <w:rPr>
          <w:rFonts w:hint="eastAsia" w:ascii="仿宋_GB2312" w:hAnsi="宋体" w:eastAsia="仿宋_GB2312" w:cs="宋体"/>
          <w:color w:val="000000" w:themeColor="text1"/>
          <w:kern w:val="0"/>
          <w:sz w:val="32"/>
          <w14:textFill>
            <w14:solidFill>
              <w14:schemeClr w14:val="tx1"/>
            </w14:solidFill>
          </w14:textFill>
        </w:rPr>
        <w:t>分</w:t>
      </w:r>
      <w:r>
        <w:rPr>
          <w:rFonts w:hint="eastAsia" w:ascii="仿宋_GB2312" w:hAnsi="宋体" w:eastAsia="仿宋_GB2312" w:cs="宋体"/>
          <w:kern w:val="0"/>
          <w:sz w:val="32"/>
        </w:rPr>
        <w:t>或专业笔试成绩低于60分的考生，视为复试不合格，不予录取。。</w:t>
      </w:r>
    </w:p>
    <w:p w14:paraId="6A56DCFD">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（三）加试成绩不计入复试总成绩科目，但其中任何一门考试成绩低于60分的视为复试不合格，不予录取。</w:t>
      </w:r>
    </w:p>
    <w:p w14:paraId="3A66CD6F">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w:t>
      </w:r>
      <w:r>
        <w:rPr>
          <w:rFonts w:hint="eastAsia" w:ascii="仿宋_GB2312" w:hAnsi="宋体" w:eastAsia="仿宋_GB2312" w:cs="宋体"/>
          <w:kern w:val="0"/>
          <w:sz w:val="32"/>
          <w:szCs w:val="32"/>
        </w:rPr>
        <w:t>考生</w:t>
      </w:r>
      <w:r>
        <w:rPr>
          <w:rFonts w:hint="eastAsia" w:ascii="仿宋_GB2312" w:hAnsi="宋体" w:eastAsia="仿宋_GB2312" w:cs="宋体"/>
          <w:b/>
          <w:kern w:val="0"/>
          <w:sz w:val="32"/>
          <w:szCs w:val="32"/>
        </w:rPr>
        <w:t>复试总成绩</w:t>
      </w:r>
      <w:r>
        <w:rPr>
          <w:rFonts w:hint="eastAsia" w:ascii="仿宋_GB2312" w:hAnsi="宋体" w:eastAsia="仿宋_GB2312" w:cs="宋体"/>
          <w:kern w:val="0"/>
          <w:sz w:val="32"/>
          <w:szCs w:val="32"/>
        </w:rPr>
        <w:t>为</w:t>
      </w:r>
      <w:r>
        <w:rPr>
          <w:rFonts w:hint="eastAsia" w:ascii="仿宋_GB2312" w:hAnsi="宋体" w:eastAsia="仿宋_GB2312" w:cs="宋体"/>
          <w:color w:val="FF0000"/>
          <w:kern w:val="0"/>
          <w:sz w:val="32"/>
        </w:rPr>
        <w:t>综合面试成绩（或修正后综合面试成绩）</w:t>
      </w:r>
      <w:r>
        <w:rPr>
          <w:rFonts w:hint="eastAsia" w:ascii="仿宋_GB2312" w:hAnsi="宋体" w:eastAsia="仿宋_GB2312" w:cs="宋体"/>
          <w:kern w:val="0"/>
          <w:sz w:val="32"/>
        </w:rPr>
        <w:t>和专业笔试成绩之和，</w:t>
      </w:r>
      <w:r>
        <w:rPr>
          <w:rFonts w:hint="eastAsia" w:ascii="仿宋_GB2312" w:hAnsi="宋体" w:eastAsia="仿宋_GB2312" w:cs="宋体"/>
          <w:kern w:val="0"/>
          <w:sz w:val="32"/>
          <w:szCs w:val="32"/>
        </w:rPr>
        <w:t>并按照总分100分进行折算。</w:t>
      </w:r>
    </w:p>
    <w:p w14:paraId="1A5F9F57">
      <w:pPr>
        <w:snapToGrid w:val="0"/>
        <w:spacing w:line="580" w:lineRule="exact"/>
        <w:ind w:firstLine="640" w:firstLineChars="200"/>
        <w:rPr>
          <w:rFonts w:ascii="仿宋_GB2312" w:hAnsi="宋体" w:eastAsia="仿宋_GB2312" w:cs="宋体"/>
          <w:kern w:val="0"/>
          <w:sz w:val="32"/>
        </w:rPr>
      </w:pPr>
      <w:r>
        <w:rPr>
          <w:rFonts w:hint="eastAsia" w:ascii="仿宋_GB2312" w:hAnsi="仿宋" w:eastAsia="仿宋_GB2312" w:cs="仿宋"/>
          <w:sz w:val="32"/>
          <w:szCs w:val="32"/>
        </w:rPr>
        <w:t>（五）入学考试总成绩=（初试总成绩/初试总分值*100）*50%+折算后复试总成绩*50%。</w:t>
      </w:r>
    </w:p>
    <w:p w14:paraId="3FE96D2E">
      <w:pPr>
        <w:snapToGrid w:val="0"/>
        <w:spacing w:line="580" w:lineRule="exact"/>
        <w:ind w:firstLine="640" w:firstLineChars="200"/>
        <w:rPr>
          <w:rFonts w:ascii="仿宋_GB2312" w:hAnsi="仿宋" w:eastAsia="仿宋_GB2312" w:cs="仿宋"/>
          <w:sz w:val="32"/>
          <w:szCs w:val="32"/>
        </w:rPr>
      </w:pPr>
      <w:r>
        <w:rPr>
          <w:rFonts w:hint="eastAsia" w:ascii="仿宋_GB2312" w:hAnsi="宋体" w:eastAsia="仿宋_GB2312" w:cs="宋体"/>
          <w:kern w:val="0"/>
          <w:sz w:val="32"/>
        </w:rPr>
        <w:t>初试总分值即考生初试各科目满分值相加。</w:t>
      </w:r>
    </w:p>
    <w:p w14:paraId="5515B7F3">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（六）各专业待录取名单按照入学考试总成绩从高到低分别排序。入学考试总成绩相同的考生，依次按照复试总成绩、修正后综合面试成绩由高到低进行排序，如有必要，学院可对相关考生进行再次复试。</w:t>
      </w:r>
    </w:p>
    <w:p w14:paraId="68362979">
      <w:pPr>
        <w:shd w:val="clear" w:color="auto" w:fill="FFFFFF"/>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w:t>
      </w:r>
      <w:bookmarkStart w:id="6" w:name="OLE_LINK23"/>
      <w:bookmarkStart w:id="7" w:name="OLE_LINK82"/>
      <w:bookmarkStart w:id="8" w:name="OLE_LINK22"/>
      <w:bookmarkStart w:id="9" w:name="OLE_LINK37"/>
      <w:bookmarkStart w:id="10" w:name="OLE_LINK69"/>
      <w:bookmarkStart w:id="11" w:name="OLE_LINK96"/>
      <w:bookmarkStart w:id="12" w:name="OLE_LINK38"/>
      <w:bookmarkStart w:id="13" w:name="OLE_LINK70"/>
      <w:bookmarkStart w:id="14" w:name="OLE_LINK33"/>
      <w:bookmarkStart w:id="15" w:name="OLE_LINK91"/>
      <w:bookmarkStart w:id="16" w:name="OLE_LINK73"/>
      <w:bookmarkStart w:id="17" w:name="OLE_LINK60"/>
      <w:bookmarkStart w:id="18" w:name="OLE_LINK101"/>
      <w:bookmarkStart w:id="19" w:name="OLE_LINK84"/>
      <w:bookmarkStart w:id="20" w:name="OLE_LINK64"/>
      <w:bookmarkStart w:id="21" w:name="OLE_LINK87"/>
      <w:bookmarkStart w:id="22" w:name="OLE_LINK34"/>
      <w:r>
        <w:rPr>
          <w:rFonts w:hint="eastAsia" w:ascii="仿宋_GB2312" w:hAnsi="仿宋" w:eastAsia="仿宋_GB2312" w:cs="仿宋"/>
          <w:sz w:val="32"/>
          <w:szCs w:val="32"/>
        </w:rPr>
        <w:t>在调剂计划内按照排序依次对考生进行拟录取</w:t>
      </w:r>
      <w:bookmarkEnd w:id="6"/>
      <w:bookmarkEnd w:id="7"/>
      <w:bookmarkEnd w:id="8"/>
      <w:r>
        <w:rPr>
          <w:rFonts w:hint="eastAsia" w:ascii="仿宋_GB2312" w:hAnsi="仿宋" w:eastAsia="仿宋_GB2312" w:cs="仿宋"/>
          <w:sz w:val="32"/>
          <w:szCs w:val="32"/>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仿宋_GB2312" w:hAnsi="仿宋" w:eastAsia="仿宋_GB2312" w:cs="仿宋"/>
          <w:sz w:val="32"/>
          <w:szCs w:val="32"/>
        </w:rPr>
        <w:t>如出现待录取考生放弃录取资格或调整增加调剂计划等情况，则在该专业复试合格的、未被其他高校通过调剂系统待录取的候补考生中，按入学考试总成绩由高到低依次进行补录。</w:t>
      </w:r>
    </w:p>
    <w:p w14:paraId="086B9BAC">
      <w:pPr>
        <w:snapToGrid w:val="0"/>
        <w:spacing w:line="580" w:lineRule="exact"/>
        <w:ind w:firstLine="640" w:firstLineChars="200"/>
        <w:rPr>
          <w:rFonts w:ascii="黑体" w:hAnsi="黑体" w:eastAsia="黑体" w:cs="仿宋"/>
          <w:sz w:val="32"/>
          <w:szCs w:val="32"/>
        </w:rPr>
      </w:pPr>
      <w:r>
        <w:rPr>
          <w:rFonts w:hint="eastAsia" w:ascii="黑体" w:hAnsi="黑体" w:eastAsia="黑体" w:cs="仿宋"/>
          <w:sz w:val="32"/>
          <w:szCs w:val="32"/>
        </w:rPr>
        <w:t>八、复试的监督复议和信息公开</w:t>
      </w:r>
    </w:p>
    <w:p w14:paraId="1D38BC77">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实行责任制度和责任追究制度。学院研究生招生工作领导小组组长要对本学院复试过程的公平、公正和复试结果全面负责，严格执行学校有关研究生招生考试规定、严肃处理违规违纪事件；各面试小组组长要对本硕士点面试过程、面试程序、面试结果负责。</w:t>
      </w:r>
    </w:p>
    <w:p w14:paraId="44BA5FCA">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（二）实行监督制度和巡视制度。学院</w:t>
      </w:r>
      <w:r>
        <w:rPr>
          <w:rFonts w:hint="eastAsia" w:ascii="仿宋_GB2312" w:hAnsi="仿宋" w:eastAsia="仿宋_GB2312"/>
          <w:color w:val="000000" w:themeColor="text1"/>
          <w:sz w:val="32"/>
          <w:szCs w:val="32"/>
          <w14:textFill>
            <w14:solidFill>
              <w14:schemeClr w14:val="tx1"/>
            </w14:solidFill>
          </w14:textFill>
        </w:rPr>
        <w:t>复试录取工作检查组</w:t>
      </w:r>
      <w:r>
        <w:rPr>
          <w:rFonts w:hint="eastAsia" w:ascii="仿宋_GB2312" w:hAnsi="仿宋" w:eastAsia="仿宋_GB2312" w:cs="仿宋"/>
          <w:sz w:val="32"/>
          <w:szCs w:val="32"/>
        </w:rPr>
        <w:t>对复试全过程进行监督和检查。</w:t>
      </w:r>
    </w:p>
    <w:p w14:paraId="41B9A8D7">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（三）实行信息公开公示。学院复试录取工作实施细则、复试结果、待录取名单等信息及时在学院招生网进行公布和公示。</w:t>
      </w:r>
    </w:p>
    <w:p w14:paraId="5AE9595F">
      <w:pPr>
        <w:shd w:val="clear" w:color="auto" w:fill="FFFFFF"/>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（四）复议。考生对复试结果有异议的，可通过书面形式向学院纪检委员反馈，联系电话</w:t>
      </w:r>
      <w:r>
        <w:rPr>
          <w:rFonts w:ascii="仿宋_GB2312" w:hAnsi="仿宋" w:eastAsia="仿宋_GB2312" w:cs="仿宋"/>
          <w:sz w:val="32"/>
          <w:szCs w:val="32"/>
        </w:rPr>
        <w:t>0791-83863138</w:t>
      </w:r>
      <w:r>
        <w:rPr>
          <w:rFonts w:hint="eastAsia" w:ascii="仿宋_GB2312" w:hAnsi="仿宋" w:eastAsia="仿宋_GB2312" w:cs="仿宋"/>
          <w:sz w:val="32"/>
          <w:szCs w:val="32"/>
        </w:rPr>
        <w:t>。</w:t>
      </w:r>
    </w:p>
    <w:p w14:paraId="5962C72F">
      <w:pPr>
        <w:shd w:val="clear" w:color="auto" w:fill="FFFFFF"/>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究生招生工作涉及面广、影响大、原则性强，请有关人员严格按照各项规定认真负责做好工作，自觉接受社会的监督、提高自我约束的自觉性，抵制不正之风的干扰，自觉维护我校研究生招生的声誉。对违反国家招生政策、徇私舞弊、造成不良影响的人员将按有关规定严肃处理。</w:t>
      </w:r>
    </w:p>
    <w:p w14:paraId="10C38334">
      <w:pPr>
        <w:snapToGrid w:val="0"/>
        <w:spacing w:line="580" w:lineRule="exact"/>
        <w:ind w:firstLine="640" w:firstLineChars="200"/>
        <w:rPr>
          <w:rFonts w:ascii="黑体" w:hAnsi="黑体" w:eastAsia="黑体" w:cs="仿宋"/>
          <w:sz w:val="32"/>
          <w:szCs w:val="32"/>
        </w:rPr>
      </w:pPr>
      <w:r>
        <w:rPr>
          <w:rFonts w:hint="eastAsia" w:ascii="黑体" w:hAnsi="黑体" w:eastAsia="黑体" w:cs="仿宋"/>
          <w:sz w:val="32"/>
          <w:szCs w:val="32"/>
        </w:rPr>
        <w:t>九、其他事项</w:t>
      </w:r>
    </w:p>
    <w:p w14:paraId="055A51E8">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（一）如复试中出现突发状况，学院认为有必要时可对相关考生再次复试。</w:t>
      </w:r>
    </w:p>
    <w:p w14:paraId="0C80212E">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（二）在复试过程中存在违规行为的考生，一经查实，即按照《国家教育考试违规处理办法》、《普通高等学校招生违规行为处理暂行办法》等规定严肃处理。</w:t>
      </w:r>
    </w:p>
    <w:p w14:paraId="1521E8D7">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（三）其他</w:t>
      </w:r>
      <w:r>
        <w:rPr>
          <w:rFonts w:hint="eastAsia" w:ascii="仿宋_GB2312" w:eastAsia="仿宋_GB2312"/>
          <w:sz w:val="32"/>
          <w:szCs w:val="32"/>
        </w:rPr>
        <w:t>未尽事项遵照《南昌航空大学202</w:t>
      </w:r>
      <w:r>
        <w:rPr>
          <w:rFonts w:ascii="仿宋_GB2312" w:eastAsia="仿宋_GB2312"/>
          <w:sz w:val="32"/>
          <w:szCs w:val="32"/>
        </w:rPr>
        <w:t>6</w:t>
      </w:r>
      <w:r>
        <w:rPr>
          <w:rFonts w:hint="eastAsia" w:ascii="仿宋_GB2312" w:eastAsia="仿宋_GB2312"/>
          <w:sz w:val="32"/>
          <w:szCs w:val="32"/>
        </w:rPr>
        <w:t>年硕士研究生复试录取工作办法》和执行</w:t>
      </w:r>
      <w:r>
        <w:rPr>
          <w:rFonts w:hint="eastAsia" w:ascii="仿宋_GB2312" w:hAnsi="仿宋" w:eastAsia="仿宋_GB2312" w:cs="仿宋"/>
          <w:sz w:val="32"/>
          <w:szCs w:val="32"/>
        </w:rPr>
        <w:t>。</w:t>
      </w:r>
    </w:p>
    <w:p w14:paraId="3088A554">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（四）为及时解答考生在复试期间的相关问题，我院特安排考生咨询电话： </w:t>
      </w:r>
      <w:r>
        <w:rPr>
          <w:rFonts w:hint="eastAsia" w:ascii="仿宋_GB2312" w:hAnsi="仿宋" w:eastAsia="仿宋_GB2312"/>
          <w:sz w:val="32"/>
          <w:szCs w:val="32"/>
        </w:rPr>
        <w:t>陈老师  0791-83863865</w:t>
      </w:r>
      <w:r>
        <w:rPr>
          <w:rFonts w:hint="eastAsia" w:ascii="仿宋_GB2312" w:eastAsia="仿宋_GB2312"/>
          <w:sz w:val="32"/>
          <w:szCs w:val="32"/>
        </w:rPr>
        <w:t>。</w:t>
      </w:r>
      <w:r>
        <w:rPr>
          <w:rFonts w:hint="eastAsia" w:ascii="仿宋_GB2312" w:hAnsi="仿宋" w:eastAsia="仿宋_GB2312"/>
          <w:sz w:val="32"/>
          <w:szCs w:val="32"/>
        </w:rPr>
        <w:t>研招调剂QQ群：</w:t>
      </w:r>
      <w:r>
        <w:rPr>
          <w:rFonts w:ascii="仿宋_GB2312" w:hAnsi="仿宋" w:eastAsia="仿宋_GB2312"/>
          <w:sz w:val="32"/>
          <w:szCs w:val="32"/>
        </w:rPr>
        <w:t>1034065281</w:t>
      </w:r>
      <w:r>
        <w:rPr>
          <w:rFonts w:hint="eastAsia" w:ascii="仿宋_GB2312" w:hAnsi="仿宋" w:eastAsia="仿宋_GB2312"/>
          <w:sz w:val="32"/>
          <w:szCs w:val="32"/>
        </w:rPr>
        <w:t>。</w:t>
      </w:r>
    </w:p>
    <w:p w14:paraId="59628CD8">
      <w:pPr>
        <w:pStyle w:val="6"/>
        <w:snapToGrid w:val="0"/>
        <w:spacing w:before="0" w:beforeAutospacing="0" w:after="0" w:afterAutospacing="0" w:line="580" w:lineRule="exact"/>
        <w:jc w:val="right"/>
        <w:rPr>
          <w:rFonts w:ascii="仿宋_GB2312" w:eastAsia="仿宋_GB2312"/>
          <w:sz w:val="32"/>
          <w:szCs w:val="32"/>
        </w:rPr>
      </w:pPr>
      <w:r>
        <w:rPr>
          <w:rFonts w:hint="eastAsia" w:ascii="仿宋_GB2312" w:eastAsia="仿宋_GB2312"/>
          <w:sz w:val="32"/>
          <w:szCs w:val="32"/>
        </w:rPr>
        <w:t>南昌航空大学外国语学院</w:t>
      </w:r>
    </w:p>
    <w:p w14:paraId="01190DC6">
      <w:pPr>
        <w:pStyle w:val="6"/>
        <w:snapToGrid w:val="0"/>
        <w:spacing w:before="0" w:beforeAutospacing="0" w:after="0" w:afterAutospacing="0" w:line="580" w:lineRule="exact"/>
        <w:jc w:val="right"/>
        <w:rPr>
          <w:rFonts w:ascii="仿宋_GB2312" w:eastAsia="仿宋_GB2312"/>
          <w:color w:val="FF0000"/>
          <w:sz w:val="32"/>
          <w:szCs w:val="32"/>
        </w:rPr>
      </w:pPr>
      <w:r>
        <w:rPr>
          <w:rFonts w:hint="eastAsia" w:ascii="仿宋_GB2312" w:eastAsia="仿宋_GB2312"/>
          <w:color w:val="FF0000"/>
          <w:sz w:val="32"/>
          <w:szCs w:val="32"/>
        </w:rPr>
        <w:t>2026年</w:t>
      </w:r>
      <w:r>
        <w:rPr>
          <w:rFonts w:ascii="仿宋_GB2312" w:eastAsia="仿宋_GB2312"/>
          <w:color w:val="FF0000"/>
          <w:sz w:val="32"/>
          <w:szCs w:val="32"/>
        </w:rPr>
        <w:t>4</w:t>
      </w:r>
      <w:r>
        <w:rPr>
          <w:rFonts w:hint="eastAsia" w:ascii="仿宋_GB2312" w:eastAsia="仿宋_GB2312"/>
          <w:color w:val="FF0000"/>
          <w:sz w:val="32"/>
          <w:szCs w:val="32"/>
        </w:rPr>
        <w:t>月</w:t>
      </w:r>
      <w:r>
        <w:rPr>
          <w:rFonts w:ascii="仿宋_GB2312" w:eastAsia="仿宋_GB2312"/>
          <w:color w:val="FF0000"/>
          <w:sz w:val="32"/>
          <w:szCs w:val="32"/>
        </w:rPr>
        <w:t>1</w:t>
      </w:r>
      <w:r>
        <w:rPr>
          <w:rFonts w:hint="eastAsia" w:ascii="仿宋_GB2312" w:eastAsia="仿宋_GB2312"/>
          <w:color w:val="FF0000"/>
          <w:sz w:val="32"/>
          <w:szCs w:val="32"/>
        </w:rPr>
        <w:t>日</w:t>
      </w:r>
    </w:p>
    <w:sectPr>
      <w:pgSz w:w="11906" w:h="16838"/>
      <w:pgMar w:top="1247" w:right="1361" w:bottom="1361"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9FF63"/>
    <w:multiLevelType w:val="singleLevel"/>
    <w:tmpl w:val="AF29FF6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xNTE5ZjJkYjk5NGI2MzNiNzkyZjg2YzRlYTM3ZjUifQ=="/>
  </w:docVars>
  <w:rsids>
    <w:rsidRoot w:val="00D141CD"/>
    <w:rsid w:val="00002A94"/>
    <w:rsid w:val="000037E8"/>
    <w:rsid w:val="00004CA2"/>
    <w:rsid w:val="00004FBA"/>
    <w:rsid w:val="000073D6"/>
    <w:rsid w:val="000114E9"/>
    <w:rsid w:val="000148F9"/>
    <w:rsid w:val="0001577D"/>
    <w:rsid w:val="00016167"/>
    <w:rsid w:val="00017C27"/>
    <w:rsid w:val="0002336A"/>
    <w:rsid w:val="00025373"/>
    <w:rsid w:val="00034871"/>
    <w:rsid w:val="000457A8"/>
    <w:rsid w:val="000564BC"/>
    <w:rsid w:val="00060060"/>
    <w:rsid w:val="00062AF4"/>
    <w:rsid w:val="00065B4C"/>
    <w:rsid w:val="000677CD"/>
    <w:rsid w:val="000765EC"/>
    <w:rsid w:val="0007750A"/>
    <w:rsid w:val="00080567"/>
    <w:rsid w:val="00083033"/>
    <w:rsid w:val="000848BB"/>
    <w:rsid w:val="00091C01"/>
    <w:rsid w:val="00093C05"/>
    <w:rsid w:val="000942A9"/>
    <w:rsid w:val="000947A9"/>
    <w:rsid w:val="00095580"/>
    <w:rsid w:val="00095C36"/>
    <w:rsid w:val="000A08F0"/>
    <w:rsid w:val="000A337D"/>
    <w:rsid w:val="000A53FA"/>
    <w:rsid w:val="000A75C2"/>
    <w:rsid w:val="000B1F94"/>
    <w:rsid w:val="000B294B"/>
    <w:rsid w:val="000B2F0E"/>
    <w:rsid w:val="000B2F6C"/>
    <w:rsid w:val="000B37FC"/>
    <w:rsid w:val="000B758A"/>
    <w:rsid w:val="000C0B05"/>
    <w:rsid w:val="000C34DD"/>
    <w:rsid w:val="000D717E"/>
    <w:rsid w:val="000E3A5C"/>
    <w:rsid w:val="000E6230"/>
    <w:rsid w:val="000E6735"/>
    <w:rsid w:val="000F068A"/>
    <w:rsid w:val="000F0EAB"/>
    <w:rsid w:val="0010055F"/>
    <w:rsid w:val="00105826"/>
    <w:rsid w:val="00105C76"/>
    <w:rsid w:val="00106DC0"/>
    <w:rsid w:val="00110B14"/>
    <w:rsid w:val="0011349E"/>
    <w:rsid w:val="001155D2"/>
    <w:rsid w:val="00117025"/>
    <w:rsid w:val="0012055C"/>
    <w:rsid w:val="00120BEB"/>
    <w:rsid w:val="00123F4A"/>
    <w:rsid w:val="00126808"/>
    <w:rsid w:val="00127CFF"/>
    <w:rsid w:val="00130E5E"/>
    <w:rsid w:val="001321B2"/>
    <w:rsid w:val="00134A88"/>
    <w:rsid w:val="001511F1"/>
    <w:rsid w:val="00160F7E"/>
    <w:rsid w:val="00162994"/>
    <w:rsid w:val="00170A04"/>
    <w:rsid w:val="00171DC8"/>
    <w:rsid w:val="00172584"/>
    <w:rsid w:val="00182853"/>
    <w:rsid w:val="00186FF9"/>
    <w:rsid w:val="0019377F"/>
    <w:rsid w:val="00196F49"/>
    <w:rsid w:val="001A0184"/>
    <w:rsid w:val="001A3449"/>
    <w:rsid w:val="001A4F6A"/>
    <w:rsid w:val="001A7537"/>
    <w:rsid w:val="001B2877"/>
    <w:rsid w:val="001C0024"/>
    <w:rsid w:val="001C33EA"/>
    <w:rsid w:val="001C56E6"/>
    <w:rsid w:val="001C62A7"/>
    <w:rsid w:val="001D06AC"/>
    <w:rsid w:val="001D15E6"/>
    <w:rsid w:val="001D2B4D"/>
    <w:rsid w:val="001E082E"/>
    <w:rsid w:val="001E2CD7"/>
    <w:rsid w:val="001F1FDC"/>
    <w:rsid w:val="001F40E4"/>
    <w:rsid w:val="001F4BE6"/>
    <w:rsid w:val="002001B5"/>
    <w:rsid w:val="002029A4"/>
    <w:rsid w:val="0021019D"/>
    <w:rsid w:val="0021124C"/>
    <w:rsid w:val="00211E99"/>
    <w:rsid w:val="00221904"/>
    <w:rsid w:val="002227B5"/>
    <w:rsid w:val="002245A9"/>
    <w:rsid w:val="00224CDE"/>
    <w:rsid w:val="00230334"/>
    <w:rsid w:val="00231259"/>
    <w:rsid w:val="00231AE9"/>
    <w:rsid w:val="00232A65"/>
    <w:rsid w:val="0023392F"/>
    <w:rsid w:val="002370CC"/>
    <w:rsid w:val="0024261B"/>
    <w:rsid w:val="00242E07"/>
    <w:rsid w:val="0024561C"/>
    <w:rsid w:val="00245D7A"/>
    <w:rsid w:val="002470E3"/>
    <w:rsid w:val="00247ACD"/>
    <w:rsid w:val="002524DF"/>
    <w:rsid w:val="002565A9"/>
    <w:rsid w:val="0026104D"/>
    <w:rsid w:val="002626EA"/>
    <w:rsid w:val="002646BE"/>
    <w:rsid w:val="00277459"/>
    <w:rsid w:val="00281272"/>
    <w:rsid w:val="00284220"/>
    <w:rsid w:val="0028770F"/>
    <w:rsid w:val="00296690"/>
    <w:rsid w:val="00296AA7"/>
    <w:rsid w:val="002A0138"/>
    <w:rsid w:val="002A4776"/>
    <w:rsid w:val="002B37EE"/>
    <w:rsid w:val="002B45C6"/>
    <w:rsid w:val="002B49E5"/>
    <w:rsid w:val="002B4F9C"/>
    <w:rsid w:val="002C2389"/>
    <w:rsid w:val="002C25EE"/>
    <w:rsid w:val="002C47D2"/>
    <w:rsid w:val="002D0251"/>
    <w:rsid w:val="002D2AC9"/>
    <w:rsid w:val="002D6C7A"/>
    <w:rsid w:val="002D6FDF"/>
    <w:rsid w:val="002E266C"/>
    <w:rsid w:val="002E26EC"/>
    <w:rsid w:val="002E2F96"/>
    <w:rsid w:val="002E58BD"/>
    <w:rsid w:val="002E75F3"/>
    <w:rsid w:val="002F360F"/>
    <w:rsid w:val="002F389F"/>
    <w:rsid w:val="002F4FAD"/>
    <w:rsid w:val="002F7C75"/>
    <w:rsid w:val="00301738"/>
    <w:rsid w:val="0031216C"/>
    <w:rsid w:val="00312EA3"/>
    <w:rsid w:val="0031487A"/>
    <w:rsid w:val="00320482"/>
    <w:rsid w:val="003230A3"/>
    <w:rsid w:val="00327F3A"/>
    <w:rsid w:val="0033106E"/>
    <w:rsid w:val="00332FBE"/>
    <w:rsid w:val="00344CF8"/>
    <w:rsid w:val="00344EF6"/>
    <w:rsid w:val="00346986"/>
    <w:rsid w:val="00346D96"/>
    <w:rsid w:val="00347522"/>
    <w:rsid w:val="003540D7"/>
    <w:rsid w:val="00354FE3"/>
    <w:rsid w:val="00356FB4"/>
    <w:rsid w:val="003570DE"/>
    <w:rsid w:val="00357425"/>
    <w:rsid w:val="00364502"/>
    <w:rsid w:val="0036500A"/>
    <w:rsid w:val="00365F25"/>
    <w:rsid w:val="00367917"/>
    <w:rsid w:val="00372252"/>
    <w:rsid w:val="00372DC9"/>
    <w:rsid w:val="0037416A"/>
    <w:rsid w:val="00375C3C"/>
    <w:rsid w:val="003861A9"/>
    <w:rsid w:val="00387600"/>
    <w:rsid w:val="0039122F"/>
    <w:rsid w:val="003919AE"/>
    <w:rsid w:val="00393D08"/>
    <w:rsid w:val="003A0A8E"/>
    <w:rsid w:val="003A0C92"/>
    <w:rsid w:val="003A4908"/>
    <w:rsid w:val="003A6814"/>
    <w:rsid w:val="003A6BED"/>
    <w:rsid w:val="003A7289"/>
    <w:rsid w:val="003A7431"/>
    <w:rsid w:val="003C248A"/>
    <w:rsid w:val="003C361C"/>
    <w:rsid w:val="003C3902"/>
    <w:rsid w:val="003C6D96"/>
    <w:rsid w:val="003D2198"/>
    <w:rsid w:val="003D2E0E"/>
    <w:rsid w:val="003D73D1"/>
    <w:rsid w:val="003E012A"/>
    <w:rsid w:val="003E64D9"/>
    <w:rsid w:val="0040286F"/>
    <w:rsid w:val="00402E4F"/>
    <w:rsid w:val="0040526D"/>
    <w:rsid w:val="00405ECE"/>
    <w:rsid w:val="00407B5F"/>
    <w:rsid w:val="00410D28"/>
    <w:rsid w:val="0041501A"/>
    <w:rsid w:val="00416C1D"/>
    <w:rsid w:val="004172E6"/>
    <w:rsid w:val="0042143B"/>
    <w:rsid w:val="00424D90"/>
    <w:rsid w:val="00435187"/>
    <w:rsid w:val="004376EF"/>
    <w:rsid w:val="00444FDC"/>
    <w:rsid w:val="00445D59"/>
    <w:rsid w:val="00452EBE"/>
    <w:rsid w:val="0046293F"/>
    <w:rsid w:val="0046601B"/>
    <w:rsid w:val="00471114"/>
    <w:rsid w:val="004730AA"/>
    <w:rsid w:val="00474F01"/>
    <w:rsid w:val="00483132"/>
    <w:rsid w:val="00487DA7"/>
    <w:rsid w:val="00490B0B"/>
    <w:rsid w:val="00492E81"/>
    <w:rsid w:val="00493200"/>
    <w:rsid w:val="00493736"/>
    <w:rsid w:val="00497F41"/>
    <w:rsid w:val="004A0074"/>
    <w:rsid w:val="004A0619"/>
    <w:rsid w:val="004A27ED"/>
    <w:rsid w:val="004B4985"/>
    <w:rsid w:val="004C21D0"/>
    <w:rsid w:val="004C33EE"/>
    <w:rsid w:val="004C59EE"/>
    <w:rsid w:val="004C6BCD"/>
    <w:rsid w:val="004C6FD1"/>
    <w:rsid w:val="004D2B20"/>
    <w:rsid w:val="004D3C24"/>
    <w:rsid w:val="004D51D7"/>
    <w:rsid w:val="004D7C46"/>
    <w:rsid w:val="004E6273"/>
    <w:rsid w:val="004F4CFC"/>
    <w:rsid w:val="004F6A20"/>
    <w:rsid w:val="00502693"/>
    <w:rsid w:val="00504118"/>
    <w:rsid w:val="00506C05"/>
    <w:rsid w:val="005070DD"/>
    <w:rsid w:val="00511E85"/>
    <w:rsid w:val="00514BC1"/>
    <w:rsid w:val="00524517"/>
    <w:rsid w:val="00526E02"/>
    <w:rsid w:val="00533891"/>
    <w:rsid w:val="00533D1E"/>
    <w:rsid w:val="0053473F"/>
    <w:rsid w:val="00535F45"/>
    <w:rsid w:val="00537F60"/>
    <w:rsid w:val="00541BAE"/>
    <w:rsid w:val="00542C43"/>
    <w:rsid w:val="00544414"/>
    <w:rsid w:val="005510C6"/>
    <w:rsid w:val="005512B4"/>
    <w:rsid w:val="00566B6C"/>
    <w:rsid w:val="005759DA"/>
    <w:rsid w:val="00576706"/>
    <w:rsid w:val="00576CF0"/>
    <w:rsid w:val="00580501"/>
    <w:rsid w:val="00585EB4"/>
    <w:rsid w:val="00586922"/>
    <w:rsid w:val="00596524"/>
    <w:rsid w:val="005A6EA0"/>
    <w:rsid w:val="005B383B"/>
    <w:rsid w:val="005B5572"/>
    <w:rsid w:val="005B751A"/>
    <w:rsid w:val="005C26FB"/>
    <w:rsid w:val="005C3FE0"/>
    <w:rsid w:val="005C40E7"/>
    <w:rsid w:val="005C410E"/>
    <w:rsid w:val="005C5B35"/>
    <w:rsid w:val="005C6799"/>
    <w:rsid w:val="005C79F5"/>
    <w:rsid w:val="005D690C"/>
    <w:rsid w:val="005E1D39"/>
    <w:rsid w:val="005F17C1"/>
    <w:rsid w:val="005F5316"/>
    <w:rsid w:val="005F54ED"/>
    <w:rsid w:val="005F5825"/>
    <w:rsid w:val="005F7257"/>
    <w:rsid w:val="005F7F73"/>
    <w:rsid w:val="00600FE6"/>
    <w:rsid w:val="00601C34"/>
    <w:rsid w:val="006053DE"/>
    <w:rsid w:val="0060547F"/>
    <w:rsid w:val="006216AE"/>
    <w:rsid w:val="006221B3"/>
    <w:rsid w:val="00622BC8"/>
    <w:rsid w:val="00622F77"/>
    <w:rsid w:val="0062472C"/>
    <w:rsid w:val="00630341"/>
    <w:rsid w:val="00630D1F"/>
    <w:rsid w:val="006330B1"/>
    <w:rsid w:val="00634166"/>
    <w:rsid w:val="006374B7"/>
    <w:rsid w:val="006418E3"/>
    <w:rsid w:val="0064370D"/>
    <w:rsid w:val="00644DCB"/>
    <w:rsid w:val="00645275"/>
    <w:rsid w:val="006476BF"/>
    <w:rsid w:val="00650034"/>
    <w:rsid w:val="00653EE7"/>
    <w:rsid w:val="006556C0"/>
    <w:rsid w:val="0065613C"/>
    <w:rsid w:val="00660E84"/>
    <w:rsid w:val="006611F0"/>
    <w:rsid w:val="0066205D"/>
    <w:rsid w:val="00665DDC"/>
    <w:rsid w:val="00667724"/>
    <w:rsid w:val="00672C27"/>
    <w:rsid w:val="00673533"/>
    <w:rsid w:val="0067548E"/>
    <w:rsid w:val="00676E41"/>
    <w:rsid w:val="006907CB"/>
    <w:rsid w:val="00696804"/>
    <w:rsid w:val="006A1806"/>
    <w:rsid w:val="006A3ADF"/>
    <w:rsid w:val="006C0F91"/>
    <w:rsid w:val="006D2E5A"/>
    <w:rsid w:val="006D63C5"/>
    <w:rsid w:val="006E03A9"/>
    <w:rsid w:val="006E4127"/>
    <w:rsid w:val="006E46DF"/>
    <w:rsid w:val="006F09D5"/>
    <w:rsid w:val="006F3569"/>
    <w:rsid w:val="006F5A94"/>
    <w:rsid w:val="006F5D02"/>
    <w:rsid w:val="007007B1"/>
    <w:rsid w:val="00701FF5"/>
    <w:rsid w:val="00703AD9"/>
    <w:rsid w:val="00704496"/>
    <w:rsid w:val="00714519"/>
    <w:rsid w:val="00716347"/>
    <w:rsid w:val="00720A72"/>
    <w:rsid w:val="00720F95"/>
    <w:rsid w:val="00736887"/>
    <w:rsid w:val="007403B8"/>
    <w:rsid w:val="00740F76"/>
    <w:rsid w:val="0075055A"/>
    <w:rsid w:val="00750F5A"/>
    <w:rsid w:val="00755768"/>
    <w:rsid w:val="00757E71"/>
    <w:rsid w:val="007645D6"/>
    <w:rsid w:val="0076603D"/>
    <w:rsid w:val="0077158D"/>
    <w:rsid w:val="00774B08"/>
    <w:rsid w:val="007820B7"/>
    <w:rsid w:val="0078315A"/>
    <w:rsid w:val="00790BAC"/>
    <w:rsid w:val="00792841"/>
    <w:rsid w:val="00792E82"/>
    <w:rsid w:val="007A11A9"/>
    <w:rsid w:val="007A62B5"/>
    <w:rsid w:val="007A7D95"/>
    <w:rsid w:val="007B07E2"/>
    <w:rsid w:val="007C023F"/>
    <w:rsid w:val="007C2A26"/>
    <w:rsid w:val="007C5736"/>
    <w:rsid w:val="007D2C1F"/>
    <w:rsid w:val="007D4AD7"/>
    <w:rsid w:val="007D63F5"/>
    <w:rsid w:val="007E088E"/>
    <w:rsid w:val="007E0E56"/>
    <w:rsid w:val="007E5944"/>
    <w:rsid w:val="007F04FA"/>
    <w:rsid w:val="007F279C"/>
    <w:rsid w:val="00803FDE"/>
    <w:rsid w:val="00803FF6"/>
    <w:rsid w:val="00804D19"/>
    <w:rsid w:val="00806280"/>
    <w:rsid w:val="00807D4E"/>
    <w:rsid w:val="0081041A"/>
    <w:rsid w:val="0081562E"/>
    <w:rsid w:val="00825AE3"/>
    <w:rsid w:val="00830BC6"/>
    <w:rsid w:val="00832B61"/>
    <w:rsid w:val="0083734A"/>
    <w:rsid w:val="00837E3A"/>
    <w:rsid w:val="00841B99"/>
    <w:rsid w:val="00842F42"/>
    <w:rsid w:val="00846AA3"/>
    <w:rsid w:val="00850DC4"/>
    <w:rsid w:val="00850DF0"/>
    <w:rsid w:val="00855DC4"/>
    <w:rsid w:val="0085648D"/>
    <w:rsid w:val="008602E8"/>
    <w:rsid w:val="00861F6B"/>
    <w:rsid w:val="008640E2"/>
    <w:rsid w:val="008666EA"/>
    <w:rsid w:val="00870D74"/>
    <w:rsid w:val="0087620D"/>
    <w:rsid w:val="008810D3"/>
    <w:rsid w:val="00882E5B"/>
    <w:rsid w:val="0089345B"/>
    <w:rsid w:val="008A0AD0"/>
    <w:rsid w:val="008A2923"/>
    <w:rsid w:val="008B14E2"/>
    <w:rsid w:val="008B529F"/>
    <w:rsid w:val="008B5DE1"/>
    <w:rsid w:val="008C05EE"/>
    <w:rsid w:val="008C0A1B"/>
    <w:rsid w:val="008C0E29"/>
    <w:rsid w:val="008C5545"/>
    <w:rsid w:val="008C69E0"/>
    <w:rsid w:val="008D0414"/>
    <w:rsid w:val="008D27BF"/>
    <w:rsid w:val="008D57DA"/>
    <w:rsid w:val="008E0833"/>
    <w:rsid w:val="008E1A39"/>
    <w:rsid w:val="008E2282"/>
    <w:rsid w:val="008E73A7"/>
    <w:rsid w:val="008F03C6"/>
    <w:rsid w:val="008F3717"/>
    <w:rsid w:val="00903411"/>
    <w:rsid w:val="0091023B"/>
    <w:rsid w:val="00912DFE"/>
    <w:rsid w:val="00916DF1"/>
    <w:rsid w:val="009200C5"/>
    <w:rsid w:val="00931482"/>
    <w:rsid w:val="00933840"/>
    <w:rsid w:val="009410CD"/>
    <w:rsid w:val="00941779"/>
    <w:rsid w:val="00944E30"/>
    <w:rsid w:val="00945766"/>
    <w:rsid w:val="00955939"/>
    <w:rsid w:val="0095623E"/>
    <w:rsid w:val="0095721D"/>
    <w:rsid w:val="00965935"/>
    <w:rsid w:val="0096605F"/>
    <w:rsid w:val="009674D1"/>
    <w:rsid w:val="00972F7B"/>
    <w:rsid w:val="00975193"/>
    <w:rsid w:val="009801AC"/>
    <w:rsid w:val="00981593"/>
    <w:rsid w:val="00981E05"/>
    <w:rsid w:val="00982F47"/>
    <w:rsid w:val="009833EF"/>
    <w:rsid w:val="00985A66"/>
    <w:rsid w:val="00987B69"/>
    <w:rsid w:val="00991819"/>
    <w:rsid w:val="0099521D"/>
    <w:rsid w:val="009A3AC1"/>
    <w:rsid w:val="009B0F9F"/>
    <w:rsid w:val="009B7156"/>
    <w:rsid w:val="009C0DD4"/>
    <w:rsid w:val="009C4E5C"/>
    <w:rsid w:val="009C6535"/>
    <w:rsid w:val="009D4EEC"/>
    <w:rsid w:val="009E1D2B"/>
    <w:rsid w:val="009E76EB"/>
    <w:rsid w:val="009F35DE"/>
    <w:rsid w:val="009F3E14"/>
    <w:rsid w:val="009F7528"/>
    <w:rsid w:val="009F7FE0"/>
    <w:rsid w:val="00A0261C"/>
    <w:rsid w:val="00A11134"/>
    <w:rsid w:val="00A147D1"/>
    <w:rsid w:val="00A149C8"/>
    <w:rsid w:val="00A21430"/>
    <w:rsid w:val="00A21A21"/>
    <w:rsid w:val="00A245D5"/>
    <w:rsid w:val="00A27443"/>
    <w:rsid w:val="00A31BB8"/>
    <w:rsid w:val="00A34533"/>
    <w:rsid w:val="00A35952"/>
    <w:rsid w:val="00A4355C"/>
    <w:rsid w:val="00A43B54"/>
    <w:rsid w:val="00A44CCC"/>
    <w:rsid w:val="00A467DE"/>
    <w:rsid w:val="00A46E34"/>
    <w:rsid w:val="00A536FB"/>
    <w:rsid w:val="00A57376"/>
    <w:rsid w:val="00A63557"/>
    <w:rsid w:val="00A63DA9"/>
    <w:rsid w:val="00A6417A"/>
    <w:rsid w:val="00A66657"/>
    <w:rsid w:val="00A6678C"/>
    <w:rsid w:val="00A669B2"/>
    <w:rsid w:val="00A67266"/>
    <w:rsid w:val="00A70AFF"/>
    <w:rsid w:val="00A72139"/>
    <w:rsid w:val="00A72250"/>
    <w:rsid w:val="00A739AB"/>
    <w:rsid w:val="00A75DFF"/>
    <w:rsid w:val="00A777BE"/>
    <w:rsid w:val="00A816CD"/>
    <w:rsid w:val="00A84E26"/>
    <w:rsid w:val="00A877E7"/>
    <w:rsid w:val="00A919A8"/>
    <w:rsid w:val="00A95481"/>
    <w:rsid w:val="00A9665B"/>
    <w:rsid w:val="00AA0156"/>
    <w:rsid w:val="00AA2C44"/>
    <w:rsid w:val="00AB23D2"/>
    <w:rsid w:val="00AB2C57"/>
    <w:rsid w:val="00AB3A35"/>
    <w:rsid w:val="00AB549A"/>
    <w:rsid w:val="00AB67F8"/>
    <w:rsid w:val="00AB68D5"/>
    <w:rsid w:val="00AB773F"/>
    <w:rsid w:val="00AC1808"/>
    <w:rsid w:val="00AC4599"/>
    <w:rsid w:val="00AC4DE8"/>
    <w:rsid w:val="00AC7866"/>
    <w:rsid w:val="00AD2D22"/>
    <w:rsid w:val="00AD31BA"/>
    <w:rsid w:val="00AD3507"/>
    <w:rsid w:val="00AD4707"/>
    <w:rsid w:val="00AD51BA"/>
    <w:rsid w:val="00AD57C3"/>
    <w:rsid w:val="00AD5C23"/>
    <w:rsid w:val="00AD71F6"/>
    <w:rsid w:val="00AD74A4"/>
    <w:rsid w:val="00AE363D"/>
    <w:rsid w:val="00AF0F33"/>
    <w:rsid w:val="00AF2FB3"/>
    <w:rsid w:val="00AF427C"/>
    <w:rsid w:val="00AF728D"/>
    <w:rsid w:val="00B017B4"/>
    <w:rsid w:val="00B05BE8"/>
    <w:rsid w:val="00B06644"/>
    <w:rsid w:val="00B15D7A"/>
    <w:rsid w:val="00B2146D"/>
    <w:rsid w:val="00B21E33"/>
    <w:rsid w:val="00B21F09"/>
    <w:rsid w:val="00B228E7"/>
    <w:rsid w:val="00B23AC5"/>
    <w:rsid w:val="00B30352"/>
    <w:rsid w:val="00B3073B"/>
    <w:rsid w:val="00B32EB9"/>
    <w:rsid w:val="00B33EE2"/>
    <w:rsid w:val="00B358F3"/>
    <w:rsid w:val="00B37C36"/>
    <w:rsid w:val="00B43CC4"/>
    <w:rsid w:val="00B44C87"/>
    <w:rsid w:val="00B5349D"/>
    <w:rsid w:val="00B57621"/>
    <w:rsid w:val="00B649AE"/>
    <w:rsid w:val="00B66A25"/>
    <w:rsid w:val="00B67BC3"/>
    <w:rsid w:val="00B70816"/>
    <w:rsid w:val="00B72FC6"/>
    <w:rsid w:val="00B800B2"/>
    <w:rsid w:val="00B82C91"/>
    <w:rsid w:val="00B83213"/>
    <w:rsid w:val="00B90CA6"/>
    <w:rsid w:val="00BA11BF"/>
    <w:rsid w:val="00BB41BD"/>
    <w:rsid w:val="00BB61A5"/>
    <w:rsid w:val="00BB6245"/>
    <w:rsid w:val="00BC2670"/>
    <w:rsid w:val="00BC4E09"/>
    <w:rsid w:val="00BD4CCB"/>
    <w:rsid w:val="00BD55BE"/>
    <w:rsid w:val="00BD7073"/>
    <w:rsid w:val="00BD7353"/>
    <w:rsid w:val="00BE1131"/>
    <w:rsid w:val="00BE1783"/>
    <w:rsid w:val="00BE32A5"/>
    <w:rsid w:val="00BE4FEE"/>
    <w:rsid w:val="00BE697C"/>
    <w:rsid w:val="00BF0DAD"/>
    <w:rsid w:val="00BF58CC"/>
    <w:rsid w:val="00BF686B"/>
    <w:rsid w:val="00C05D1B"/>
    <w:rsid w:val="00C176DE"/>
    <w:rsid w:val="00C226C1"/>
    <w:rsid w:val="00C23565"/>
    <w:rsid w:val="00C239A9"/>
    <w:rsid w:val="00C23EE6"/>
    <w:rsid w:val="00C2414A"/>
    <w:rsid w:val="00C25819"/>
    <w:rsid w:val="00C30250"/>
    <w:rsid w:val="00C3244F"/>
    <w:rsid w:val="00C40BC2"/>
    <w:rsid w:val="00C453DE"/>
    <w:rsid w:val="00C5779B"/>
    <w:rsid w:val="00C578A5"/>
    <w:rsid w:val="00C61D73"/>
    <w:rsid w:val="00C67028"/>
    <w:rsid w:val="00C70B8D"/>
    <w:rsid w:val="00C74436"/>
    <w:rsid w:val="00C75256"/>
    <w:rsid w:val="00C77DC9"/>
    <w:rsid w:val="00C80CEA"/>
    <w:rsid w:val="00C836D0"/>
    <w:rsid w:val="00C87590"/>
    <w:rsid w:val="00C91E2D"/>
    <w:rsid w:val="00C928F7"/>
    <w:rsid w:val="00C94AA3"/>
    <w:rsid w:val="00C96DC6"/>
    <w:rsid w:val="00CA2187"/>
    <w:rsid w:val="00CA3B14"/>
    <w:rsid w:val="00CB7BED"/>
    <w:rsid w:val="00CB7D80"/>
    <w:rsid w:val="00CC0E2F"/>
    <w:rsid w:val="00CC3ECC"/>
    <w:rsid w:val="00CD4042"/>
    <w:rsid w:val="00CD65EF"/>
    <w:rsid w:val="00CD77DC"/>
    <w:rsid w:val="00CD78AE"/>
    <w:rsid w:val="00CE2475"/>
    <w:rsid w:val="00CE57A7"/>
    <w:rsid w:val="00CF1E70"/>
    <w:rsid w:val="00CF28F3"/>
    <w:rsid w:val="00CF4AB0"/>
    <w:rsid w:val="00D040C5"/>
    <w:rsid w:val="00D0519B"/>
    <w:rsid w:val="00D06068"/>
    <w:rsid w:val="00D12953"/>
    <w:rsid w:val="00D141CD"/>
    <w:rsid w:val="00D17884"/>
    <w:rsid w:val="00D21E38"/>
    <w:rsid w:val="00D224B5"/>
    <w:rsid w:val="00D235EB"/>
    <w:rsid w:val="00D23622"/>
    <w:rsid w:val="00D30F9E"/>
    <w:rsid w:val="00D3353C"/>
    <w:rsid w:val="00D33FD0"/>
    <w:rsid w:val="00D35A65"/>
    <w:rsid w:val="00D439E4"/>
    <w:rsid w:val="00D43E15"/>
    <w:rsid w:val="00D535B4"/>
    <w:rsid w:val="00D55864"/>
    <w:rsid w:val="00D60DCC"/>
    <w:rsid w:val="00D618C6"/>
    <w:rsid w:val="00D63F2F"/>
    <w:rsid w:val="00D705D3"/>
    <w:rsid w:val="00D72DA0"/>
    <w:rsid w:val="00D76FA9"/>
    <w:rsid w:val="00D824ED"/>
    <w:rsid w:val="00D83EFF"/>
    <w:rsid w:val="00D871DA"/>
    <w:rsid w:val="00D90F20"/>
    <w:rsid w:val="00D95CBD"/>
    <w:rsid w:val="00D965EF"/>
    <w:rsid w:val="00D96C4F"/>
    <w:rsid w:val="00DA7CBA"/>
    <w:rsid w:val="00DA7F4F"/>
    <w:rsid w:val="00DB10E1"/>
    <w:rsid w:val="00DB513F"/>
    <w:rsid w:val="00DB7E96"/>
    <w:rsid w:val="00DC0577"/>
    <w:rsid w:val="00DC29BD"/>
    <w:rsid w:val="00DD0C19"/>
    <w:rsid w:val="00DD17A0"/>
    <w:rsid w:val="00DE0A26"/>
    <w:rsid w:val="00DF097E"/>
    <w:rsid w:val="00DF18A6"/>
    <w:rsid w:val="00DF1AAD"/>
    <w:rsid w:val="00DF314F"/>
    <w:rsid w:val="00DF4E61"/>
    <w:rsid w:val="00DF513D"/>
    <w:rsid w:val="00E02B9F"/>
    <w:rsid w:val="00E04140"/>
    <w:rsid w:val="00E07CFE"/>
    <w:rsid w:val="00E107ED"/>
    <w:rsid w:val="00E11EBA"/>
    <w:rsid w:val="00E15C5A"/>
    <w:rsid w:val="00E22181"/>
    <w:rsid w:val="00E2326E"/>
    <w:rsid w:val="00E23E35"/>
    <w:rsid w:val="00E31ECE"/>
    <w:rsid w:val="00E40826"/>
    <w:rsid w:val="00E40C5B"/>
    <w:rsid w:val="00E536A4"/>
    <w:rsid w:val="00E54CBD"/>
    <w:rsid w:val="00E64765"/>
    <w:rsid w:val="00E707C6"/>
    <w:rsid w:val="00E70913"/>
    <w:rsid w:val="00E70EF5"/>
    <w:rsid w:val="00E7470A"/>
    <w:rsid w:val="00E75909"/>
    <w:rsid w:val="00E75B64"/>
    <w:rsid w:val="00E75F54"/>
    <w:rsid w:val="00E80948"/>
    <w:rsid w:val="00E81FAA"/>
    <w:rsid w:val="00E84F46"/>
    <w:rsid w:val="00E934FE"/>
    <w:rsid w:val="00E938C9"/>
    <w:rsid w:val="00EA35D9"/>
    <w:rsid w:val="00EB01B7"/>
    <w:rsid w:val="00EB4F7C"/>
    <w:rsid w:val="00EC2B2D"/>
    <w:rsid w:val="00EC5B3D"/>
    <w:rsid w:val="00EC6D84"/>
    <w:rsid w:val="00ED2E0A"/>
    <w:rsid w:val="00ED4A14"/>
    <w:rsid w:val="00ED695A"/>
    <w:rsid w:val="00ED6B61"/>
    <w:rsid w:val="00EE04DB"/>
    <w:rsid w:val="00EE1B25"/>
    <w:rsid w:val="00EE58BA"/>
    <w:rsid w:val="00EF6C33"/>
    <w:rsid w:val="00EF722A"/>
    <w:rsid w:val="00F06163"/>
    <w:rsid w:val="00F138BD"/>
    <w:rsid w:val="00F17863"/>
    <w:rsid w:val="00F17E20"/>
    <w:rsid w:val="00F23575"/>
    <w:rsid w:val="00F241AC"/>
    <w:rsid w:val="00F25F3C"/>
    <w:rsid w:val="00F3359F"/>
    <w:rsid w:val="00F33A15"/>
    <w:rsid w:val="00F42579"/>
    <w:rsid w:val="00F464B2"/>
    <w:rsid w:val="00F51CB4"/>
    <w:rsid w:val="00F53199"/>
    <w:rsid w:val="00F60364"/>
    <w:rsid w:val="00F605D0"/>
    <w:rsid w:val="00F61C12"/>
    <w:rsid w:val="00F6793A"/>
    <w:rsid w:val="00F67C5E"/>
    <w:rsid w:val="00F70DA1"/>
    <w:rsid w:val="00F71E02"/>
    <w:rsid w:val="00F83A7F"/>
    <w:rsid w:val="00F8501C"/>
    <w:rsid w:val="00F85E6A"/>
    <w:rsid w:val="00F877B2"/>
    <w:rsid w:val="00F879BB"/>
    <w:rsid w:val="00F944C3"/>
    <w:rsid w:val="00F94B25"/>
    <w:rsid w:val="00F97072"/>
    <w:rsid w:val="00FB1364"/>
    <w:rsid w:val="00FB5128"/>
    <w:rsid w:val="00FB5AF7"/>
    <w:rsid w:val="00FC66AA"/>
    <w:rsid w:val="00FD4001"/>
    <w:rsid w:val="00FD507F"/>
    <w:rsid w:val="00FE07E7"/>
    <w:rsid w:val="00FE5457"/>
    <w:rsid w:val="00FF1404"/>
    <w:rsid w:val="00FF546C"/>
    <w:rsid w:val="02181819"/>
    <w:rsid w:val="02482B33"/>
    <w:rsid w:val="02C710BB"/>
    <w:rsid w:val="032851B1"/>
    <w:rsid w:val="033267CB"/>
    <w:rsid w:val="039964B9"/>
    <w:rsid w:val="041512EE"/>
    <w:rsid w:val="04407E82"/>
    <w:rsid w:val="049B42B6"/>
    <w:rsid w:val="04CF1DA5"/>
    <w:rsid w:val="050B28F7"/>
    <w:rsid w:val="05783BA2"/>
    <w:rsid w:val="060717D9"/>
    <w:rsid w:val="060C2A9E"/>
    <w:rsid w:val="064422CB"/>
    <w:rsid w:val="070E4B5B"/>
    <w:rsid w:val="07347E92"/>
    <w:rsid w:val="07ED1646"/>
    <w:rsid w:val="086256AD"/>
    <w:rsid w:val="08927F76"/>
    <w:rsid w:val="08CA595A"/>
    <w:rsid w:val="097E0524"/>
    <w:rsid w:val="0A074795"/>
    <w:rsid w:val="0A77471C"/>
    <w:rsid w:val="0C444FCC"/>
    <w:rsid w:val="0C464C38"/>
    <w:rsid w:val="0CB33775"/>
    <w:rsid w:val="0CC00CBF"/>
    <w:rsid w:val="0E4B624C"/>
    <w:rsid w:val="0E5460C7"/>
    <w:rsid w:val="0E78261D"/>
    <w:rsid w:val="0E845F7A"/>
    <w:rsid w:val="0FCF30AF"/>
    <w:rsid w:val="10AC7C51"/>
    <w:rsid w:val="10D26D7B"/>
    <w:rsid w:val="11005897"/>
    <w:rsid w:val="12381B30"/>
    <w:rsid w:val="127812A9"/>
    <w:rsid w:val="134E34F1"/>
    <w:rsid w:val="13AA2D31"/>
    <w:rsid w:val="13F919F0"/>
    <w:rsid w:val="1416389F"/>
    <w:rsid w:val="14670D4C"/>
    <w:rsid w:val="14FA6A92"/>
    <w:rsid w:val="150B6963"/>
    <w:rsid w:val="168B5B78"/>
    <w:rsid w:val="16F71A69"/>
    <w:rsid w:val="17384734"/>
    <w:rsid w:val="19DB3CB9"/>
    <w:rsid w:val="1A0A37D2"/>
    <w:rsid w:val="1A467B2E"/>
    <w:rsid w:val="1A714136"/>
    <w:rsid w:val="1A9F40AA"/>
    <w:rsid w:val="1AB43C89"/>
    <w:rsid w:val="1C401603"/>
    <w:rsid w:val="1DD5163F"/>
    <w:rsid w:val="1F5811FE"/>
    <w:rsid w:val="1FFA5B72"/>
    <w:rsid w:val="20BA0514"/>
    <w:rsid w:val="20D1692C"/>
    <w:rsid w:val="2130427D"/>
    <w:rsid w:val="22C8522C"/>
    <w:rsid w:val="23A86A7B"/>
    <w:rsid w:val="252D5B28"/>
    <w:rsid w:val="253361DF"/>
    <w:rsid w:val="25CF17B8"/>
    <w:rsid w:val="25E825A5"/>
    <w:rsid w:val="268F3730"/>
    <w:rsid w:val="26E85E5A"/>
    <w:rsid w:val="280F02F7"/>
    <w:rsid w:val="28206FF4"/>
    <w:rsid w:val="28E6341B"/>
    <w:rsid w:val="295511A8"/>
    <w:rsid w:val="29851A87"/>
    <w:rsid w:val="298A71C4"/>
    <w:rsid w:val="299577BE"/>
    <w:rsid w:val="29F4076C"/>
    <w:rsid w:val="2A210757"/>
    <w:rsid w:val="2A3C0B5D"/>
    <w:rsid w:val="2A856E4B"/>
    <w:rsid w:val="2ACD07F0"/>
    <w:rsid w:val="2AE63093"/>
    <w:rsid w:val="2C262883"/>
    <w:rsid w:val="2C4F2CFF"/>
    <w:rsid w:val="2D4B2F28"/>
    <w:rsid w:val="2DB755CB"/>
    <w:rsid w:val="2DC26981"/>
    <w:rsid w:val="2E325935"/>
    <w:rsid w:val="2F045B74"/>
    <w:rsid w:val="30A36575"/>
    <w:rsid w:val="316B6B71"/>
    <w:rsid w:val="31EA2FD4"/>
    <w:rsid w:val="320D5C0B"/>
    <w:rsid w:val="320E76A1"/>
    <w:rsid w:val="33143574"/>
    <w:rsid w:val="3340390E"/>
    <w:rsid w:val="33F55874"/>
    <w:rsid w:val="360848C6"/>
    <w:rsid w:val="37CC3B7C"/>
    <w:rsid w:val="387D1D88"/>
    <w:rsid w:val="38833733"/>
    <w:rsid w:val="38C26548"/>
    <w:rsid w:val="38EC1385"/>
    <w:rsid w:val="39454DA6"/>
    <w:rsid w:val="39A00CE9"/>
    <w:rsid w:val="3AB31832"/>
    <w:rsid w:val="3B145466"/>
    <w:rsid w:val="3B666CFA"/>
    <w:rsid w:val="3B83281C"/>
    <w:rsid w:val="3D0335DB"/>
    <w:rsid w:val="3E000A00"/>
    <w:rsid w:val="3E7B799C"/>
    <w:rsid w:val="3EA84D67"/>
    <w:rsid w:val="3EAC068C"/>
    <w:rsid w:val="3FAE0FBF"/>
    <w:rsid w:val="3FF2536B"/>
    <w:rsid w:val="405857E5"/>
    <w:rsid w:val="429E1127"/>
    <w:rsid w:val="42D44F84"/>
    <w:rsid w:val="4396180D"/>
    <w:rsid w:val="43DF0EAD"/>
    <w:rsid w:val="44300317"/>
    <w:rsid w:val="44481E9B"/>
    <w:rsid w:val="44715212"/>
    <w:rsid w:val="450C0AD9"/>
    <w:rsid w:val="457768A1"/>
    <w:rsid w:val="462C1F58"/>
    <w:rsid w:val="46BD1CD5"/>
    <w:rsid w:val="46E92D6D"/>
    <w:rsid w:val="48A57B57"/>
    <w:rsid w:val="49B43FE8"/>
    <w:rsid w:val="49E7577C"/>
    <w:rsid w:val="4A384CBA"/>
    <w:rsid w:val="4B3B0B23"/>
    <w:rsid w:val="4BBB5309"/>
    <w:rsid w:val="4BFF2E12"/>
    <w:rsid w:val="4D3A7B12"/>
    <w:rsid w:val="4EFF0FAB"/>
    <w:rsid w:val="4F3439CF"/>
    <w:rsid w:val="4F62189C"/>
    <w:rsid w:val="5043226D"/>
    <w:rsid w:val="50501F56"/>
    <w:rsid w:val="508A41A4"/>
    <w:rsid w:val="508C7972"/>
    <w:rsid w:val="50B128BA"/>
    <w:rsid w:val="50C3531C"/>
    <w:rsid w:val="50D42879"/>
    <w:rsid w:val="50F4622D"/>
    <w:rsid w:val="51FB2F27"/>
    <w:rsid w:val="52C879B8"/>
    <w:rsid w:val="53564CEB"/>
    <w:rsid w:val="541A3941"/>
    <w:rsid w:val="55371F7F"/>
    <w:rsid w:val="5600105E"/>
    <w:rsid w:val="567215CE"/>
    <w:rsid w:val="56D21B07"/>
    <w:rsid w:val="56DF612D"/>
    <w:rsid w:val="57172224"/>
    <w:rsid w:val="57EC7A56"/>
    <w:rsid w:val="58005784"/>
    <w:rsid w:val="580F6339"/>
    <w:rsid w:val="588520BC"/>
    <w:rsid w:val="59572EA7"/>
    <w:rsid w:val="5B114346"/>
    <w:rsid w:val="5B65328D"/>
    <w:rsid w:val="5BCC1B08"/>
    <w:rsid w:val="5C3148D9"/>
    <w:rsid w:val="5D4969AB"/>
    <w:rsid w:val="5D6A7F56"/>
    <w:rsid w:val="5DBA2998"/>
    <w:rsid w:val="5F112E3D"/>
    <w:rsid w:val="604F653C"/>
    <w:rsid w:val="60731504"/>
    <w:rsid w:val="60F37921"/>
    <w:rsid w:val="614A3B82"/>
    <w:rsid w:val="6246729F"/>
    <w:rsid w:val="6340655A"/>
    <w:rsid w:val="642B35AE"/>
    <w:rsid w:val="643B4B8A"/>
    <w:rsid w:val="64F7015A"/>
    <w:rsid w:val="6559599E"/>
    <w:rsid w:val="66434D3A"/>
    <w:rsid w:val="6762352F"/>
    <w:rsid w:val="67A663ED"/>
    <w:rsid w:val="68934666"/>
    <w:rsid w:val="68C15AF6"/>
    <w:rsid w:val="68F948F7"/>
    <w:rsid w:val="69294E35"/>
    <w:rsid w:val="693E7BE7"/>
    <w:rsid w:val="6A195ECE"/>
    <w:rsid w:val="6ABC7135"/>
    <w:rsid w:val="6ADC20B4"/>
    <w:rsid w:val="6AF447EC"/>
    <w:rsid w:val="6C07549D"/>
    <w:rsid w:val="6C106D58"/>
    <w:rsid w:val="6C494D53"/>
    <w:rsid w:val="6CE902A6"/>
    <w:rsid w:val="6D6C71E9"/>
    <w:rsid w:val="6DA07FF8"/>
    <w:rsid w:val="6DA93196"/>
    <w:rsid w:val="6DBC4D21"/>
    <w:rsid w:val="6DD106B1"/>
    <w:rsid w:val="6DF864D4"/>
    <w:rsid w:val="6E1B436A"/>
    <w:rsid w:val="6F0334FD"/>
    <w:rsid w:val="6F2703A4"/>
    <w:rsid w:val="6F404A53"/>
    <w:rsid w:val="6F5B1FCE"/>
    <w:rsid w:val="6FE57FC9"/>
    <w:rsid w:val="70571813"/>
    <w:rsid w:val="70A7776D"/>
    <w:rsid w:val="719D340F"/>
    <w:rsid w:val="71A576D9"/>
    <w:rsid w:val="72B00260"/>
    <w:rsid w:val="72CE33A8"/>
    <w:rsid w:val="73326F8D"/>
    <w:rsid w:val="736E22E1"/>
    <w:rsid w:val="761E52A3"/>
    <w:rsid w:val="76B11D33"/>
    <w:rsid w:val="76CB1996"/>
    <w:rsid w:val="770A4172"/>
    <w:rsid w:val="77522A71"/>
    <w:rsid w:val="77597130"/>
    <w:rsid w:val="77716972"/>
    <w:rsid w:val="777B096D"/>
    <w:rsid w:val="77824720"/>
    <w:rsid w:val="7791455D"/>
    <w:rsid w:val="781D2374"/>
    <w:rsid w:val="789964CC"/>
    <w:rsid w:val="78D46586"/>
    <w:rsid w:val="794F3C09"/>
    <w:rsid w:val="79666AF1"/>
    <w:rsid w:val="79B5547A"/>
    <w:rsid w:val="79BF105E"/>
    <w:rsid w:val="7A691243"/>
    <w:rsid w:val="7BD33E17"/>
    <w:rsid w:val="7C572F52"/>
    <w:rsid w:val="7C743F41"/>
    <w:rsid w:val="7CCE5EBC"/>
    <w:rsid w:val="7CFB1785"/>
    <w:rsid w:val="7CFF0057"/>
    <w:rsid w:val="7D455CCD"/>
    <w:rsid w:val="7DDA5058"/>
    <w:rsid w:val="7EAE45C5"/>
    <w:rsid w:val="7F290A64"/>
    <w:rsid w:val="7F366E4F"/>
    <w:rsid w:val="7F6559E5"/>
    <w:rsid w:val="7FE0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link w:val="29"/>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9">
    <w:name w:val="Strong"/>
    <w:autoRedefine/>
    <w:qFormat/>
    <w:uiPriority w:val="0"/>
    <w:rPr>
      <w:b/>
      <w:bCs/>
    </w:rPr>
  </w:style>
  <w:style w:type="character" w:styleId="10">
    <w:name w:val="FollowedHyperlink"/>
    <w:autoRedefine/>
    <w:qFormat/>
    <w:uiPriority w:val="0"/>
    <w:rPr>
      <w:color w:val="656565"/>
      <w:u w:val="none"/>
    </w:rPr>
  </w:style>
  <w:style w:type="character" w:styleId="11">
    <w:name w:val="Emphasis"/>
    <w:autoRedefine/>
    <w:qFormat/>
    <w:uiPriority w:val="0"/>
  </w:style>
  <w:style w:type="character" w:styleId="12">
    <w:name w:val="HTML Definition"/>
    <w:autoRedefine/>
    <w:qFormat/>
    <w:uiPriority w:val="0"/>
  </w:style>
  <w:style w:type="character" w:styleId="13">
    <w:name w:val="HTML Acronym"/>
    <w:autoRedefine/>
    <w:qFormat/>
    <w:uiPriority w:val="0"/>
  </w:style>
  <w:style w:type="character" w:styleId="14">
    <w:name w:val="HTML Variable"/>
    <w:qFormat/>
    <w:uiPriority w:val="0"/>
  </w:style>
  <w:style w:type="character" w:styleId="15">
    <w:name w:val="Hyperlink"/>
    <w:autoRedefine/>
    <w:qFormat/>
    <w:uiPriority w:val="0"/>
    <w:rPr>
      <w:color w:val="656565"/>
      <w:u w:val="none"/>
    </w:rPr>
  </w:style>
  <w:style w:type="character" w:styleId="16">
    <w:name w:val="HTML Code"/>
    <w:autoRedefine/>
    <w:qFormat/>
    <w:uiPriority w:val="0"/>
    <w:rPr>
      <w:rFonts w:ascii="Courier New" w:hAnsi="Courier New"/>
      <w:sz w:val="20"/>
    </w:rPr>
  </w:style>
  <w:style w:type="character" w:styleId="17">
    <w:name w:val="annotation reference"/>
    <w:basedOn w:val="8"/>
    <w:semiHidden/>
    <w:unhideWhenUsed/>
    <w:qFormat/>
    <w:uiPriority w:val="0"/>
    <w:rPr>
      <w:sz w:val="21"/>
      <w:szCs w:val="21"/>
    </w:rPr>
  </w:style>
  <w:style w:type="character" w:styleId="18">
    <w:name w:val="HTML Cite"/>
    <w:autoRedefine/>
    <w:qFormat/>
    <w:uiPriority w:val="0"/>
  </w:style>
  <w:style w:type="character" w:customStyle="1" w:styleId="19">
    <w:name w:val="layui-this"/>
    <w:autoRedefine/>
    <w:qFormat/>
    <w:uiPriority w:val="0"/>
    <w:rPr>
      <w:bdr w:val="single" w:color="EEEEEE" w:sz="6" w:space="0"/>
      <w:shd w:val="clear" w:color="auto" w:fill="FFFFFF"/>
    </w:rPr>
  </w:style>
  <w:style w:type="character" w:customStyle="1" w:styleId="20">
    <w:name w:val="item-name1"/>
    <w:basedOn w:val="8"/>
    <w:autoRedefine/>
    <w:qFormat/>
    <w:uiPriority w:val="0"/>
  </w:style>
  <w:style w:type="character" w:customStyle="1" w:styleId="21">
    <w:name w:val="item-name2"/>
    <w:basedOn w:val="8"/>
    <w:autoRedefine/>
    <w:qFormat/>
    <w:uiPriority w:val="0"/>
  </w:style>
  <w:style w:type="character" w:customStyle="1" w:styleId="22">
    <w:name w:val="item-name3"/>
    <w:autoRedefine/>
    <w:qFormat/>
    <w:uiPriority w:val="0"/>
    <w:rPr>
      <w:sz w:val="19"/>
      <w:szCs w:val="19"/>
    </w:rPr>
  </w:style>
  <w:style w:type="character" w:customStyle="1" w:styleId="23">
    <w:name w:val="first-child"/>
    <w:autoRedefine/>
    <w:qFormat/>
    <w:uiPriority w:val="0"/>
  </w:style>
  <w:style w:type="character" w:customStyle="1" w:styleId="24">
    <w:name w:val="more_text"/>
    <w:autoRedefine/>
    <w:qFormat/>
    <w:uiPriority w:val="0"/>
    <w:rPr>
      <w:b/>
      <w:color w:val="2D4C7E"/>
      <w:sz w:val="19"/>
      <w:szCs w:val="19"/>
    </w:rPr>
  </w:style>
  <w:style w:type="character" w:customStyle="1" w:styleId="25">
    <w:name w:val="pubdate-day"/>
    <w:qFormat/>
    <w:uiPriority w:val="0"/>
    <w:rPr>
      <w:sz w:val="18"/>
      <w:szCs w:val="18"/>
      <w:shd w:val="clear" w:color="auto" w:fill="F5F5F5"/>
    </w:rPr>
  </w:style>
  <w:style w:type="character" w:customStyle="1" w:styleId="26">
    <w:name w:val="item-name4"/>
    <w:qFormat/>
    <w:uiPriority w:val="0"/>
    <w:rPr>
      <w:sz w:val="24"/>
      <w:szCs w:val="24"/>
    </w:rPr>
  </w:style>
  <w:style w:type="character" w:customStyle="1" w:styleId="27">
    <w:name w:val="disabled"/>
    <w:qFormat/>
    <w:uiPriority w:val="0"/>
    <w:rPr>
      <w:color w:val="CCCCCC"/>
      <w:bdr w:val="single" w:color="F3F3F3" w:sz="6" w:space="0"/>
    </w:rPr>
  </w:style>
  <w:style w:type="character" w:customStyle="1" w:styleId="28">
    <w:name w:val="pubdate-month"/>
    <w:qFormat/>
    <w:uiPriority w:val="0"/>
    <w:rPr>
      <w:color w:val="FFFFFF"/>
      <w:sz w:val="30"/>
      <w:szCs w:val="30"/>
      <w:shd w:val="clear" w:color="auto" w:fill="E48F3F"/>
    </w:rPr>
  </w:style>
  <w:style w:type="character" w:customStyle="1" w:styleId="29">
    <w:name w:val="批注框文本 字符"/>
    <w:link w:val="3"/>
    <w:qFormat/>
    <w:uiPriority w:val="0"/>
    <w:rPr>
      <w:kern w:val="2"/>
      <w:sz w:val="18"/>
      <w:szCs w:val="18"/>
    </w:rPr>
  </w:style>
  <w:style w:type="character" w:customStyle="1" w:styleId="30">
    <w:name w:val="item-name"/>
    <w:basedOn w:val="8"/>
    <w:autoRedefine/>
    <w:qFormat/>
    <w:uiPriority w:val="0"/>
  </w:style>
  <w:style w:type="character" w:customStyle="1" w:styleId="31">
    <w:name w:val="current1"/>
    <w:qFormat/>
    <w:uiPriority w:val="0"/>
    <w:rPr>
      <w:b/>
      <w:color w:val="AAAAAA"/>
      <w:bdr w:val="single" w:color="E0E0E0" w:sz="6" w:space="0"/>
      <w:shd w:val="clear" w:color="auto" w:fill="F0F0F0"/>
    </w:rPr>
  </w:style>
  <w:style w:type="character" w:customStyle="1" w:styleId="32">
    <w:name w:val="Body text|1_"/>
    <w:basedOn w:val="8"/>
    <w:link w:val="33"/>
    <w:qFormat/>
    <w:uiPriority w:val="0"/>
    <w:rPr>
      <w:rFonts w:ascii="宋体" w:hAnsi="宋体" w:cs="宋体"/>
      <w:sz w:val="30"/>
      <w:szCs w:val="30"/>
      <w:lang w:val="zh-TW" w:eastAsia="zh-TW" w:bidi="zh-TW"/>
    </w:rPr>
  </w:style>
  <w:style w:type="paragraph" w:customStyle="1" w:styleId="33">
    <w:name w:val="Body text|1"/>
    <w:basedOn w:val="1"/>
    <w:link w:val="32"/>
    <w:qFormat/>
    <w:uiPriority w:val="0"/>
    <w:pPr>
      <w:spacing w:line="394" w:lineRule="auto"/>
      <w:ind w:firstLine="400"/>
      <w:jc w:val="left"/>
    </w:pPr>
    <w:rPr>
      <w:rFonts w:ascii="宋体" w:hAnsi="宋体" w:cs="宋体"/>
      <w:kern w:val="0"/>
      <w:sz w:val="30"/>
      <w:szCs w:val="30"/>
      <w:lang w:val="zh-TW" w:eastAsia="zh-TW" w:bidi="zh-TW"/>
    </w:rPr>
  </w:style>
  <w:style w:type="paragraph" w:styleId="3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5">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AF1E6-7BFF-47C1-8D4F-05D238F7D5A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3409</Words>
  <Characters>3603</Characters>
  <Lines>2</Lines>
  <Paragraphs>7</Paragraphs>
  <TotalTime>8</TotalTime>
  <ScaleCrop>false</ScaleCrop>
  <LinksUpToDate>false</LinksUpToDate>
  <CharactersWithSpaces>3623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2026-04-01T09:03:00Z</dcterms:created>
  <dc:creator>微软用户</dc:creator>
  <cp:lastModifiedBy>小林</cp:lastModifiedBy>
  <cp:lastPrinted>2026-03-28T09:43:00Z</cp:lastPrinted>
  <dcterms:modified xsi:type="dcterms:W3CDTF">2026-04-02T08:44:26Z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DCDA16F5545F459CAD0E3CA21CD5D0FC_13</vt:lpwstr>
  </property>
  <property fmtid="{D5CDD505-2E9C-101B-9397-08002B2CF9AE}" pid="4" name="KSOTemplateDocerSaveRecord">
    <vt:lpwstr>eyJoZGlkIjoiZTY1Y2FjOGFmZTQwZjNhNTFiYmMxMGIxM2U2N2ViZTQiLCJ1c2VySWQiOiI0MTA5MTI4NjEifQ==</vt:lpwstr>
  </property>
</Properties>
</file>